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D915" w14:textId="01C8CB1D" w:rsidR="00600593" w:rsidRDefault="003B7A3F" w:rsidP="00166811">
      <w:pPr>
        <w:pStyle w:val="Heading1"/>
        <w:tabs>
          <w:tab w:val="left" w:pos="8595"/>
        </w:tabs>
        <w:spacing w:before="7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031EAA36" w14:textId="2CFE967A" w:rsidR="00A7453C" w:rsidRDefault="00D54E66" w:rsidP="00600593">
      <w:pPr>
        <w:pStyle w:val="Heading1"/>
        <w:spacing w:before="240"/>
        <w:rPr>
          <w:color w:val="003591" w:themeColor="text2"/>
          <w:sz w:val="36"/>
          <w:szCs w:val="36"/>
          <w:lang w:val="en-AU"/>
        </w:rPr>
      </w:pPr>
      <w:r>
        <w:rPr>
          <w:color w:val="003591" w:themeColor="text2"/>
          <w:sz w:val="36"/>
          <w:szCs w:val="36"/>
          <w:lang w:val="en-AU"/>
        </w:rPr>
        <w:t>Registered Nurse</w:t>
      </w:r>
      <w:r w:rsidR="006808B8">
        <w:rPr>
          <w:color w:val="003591" w:themeColor="text2"/>
          <w:sz w:val="36"/>
          <w:szCs w:val="36"/>
          <w:lang w:val="en-AU"/>
        </w:rPr>
        <w:t>/</w:t>
      </w:r>
      <w:r w:rsidR="006808B8" w:rsidRPr="00773815">
        <w:rPr>
          <w:color w:val="003591" w:themeColor="text2"/>
          <w:sz w:val="36"/>
          <w:szCs w:val="36"/>
          <w:lang w:val="en-AU"/>
        </w:rPr>
        <w:t>Registered Midwife</w:t>
      </w:r>
    </w:p>
    <w:tbl>
      <w:tblPr>
        <w:tblStyle w:val="TableGrid"/>
        <w:tblW w:w="10485" w:type="dxa"/>
        <w:tblInd w:w="5" w:type="dxa"/>
        <w:tblLook w:val="04A0" w:firstRow="1" w:lastRow="0" w:firstColumn="1" w:lastColumn="0" w:noHBand="0" w:noVBand="1"/>
      </w:tblPr>
      <w:tblGrid>
        <w:gridCol w:w="1413"/>
        <w:gridCol w:w="3544"/>
        <w:gridCol w:w="1984"/>
        <w:gridCol w:w="3544"/>
      </w:tblGrid>
      <w:tr w:rsidR="009E2F07" w14:paraId="03A73D40" w14:textId="77777777" w:rsidTr="00ED6DB0">
        <w:trPr>
          <w:trHeight w:val="486"/>
        </w:trPr>
        <w:tc>
          <w:tcPr>
            <w:tcW w:w="1413" w:type="dxa"/>
          </w:tcPr>
          <w:p w14:paraId="4A749A3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3544" w:type="dxa"/>
          </w:tcPr>
          <w:p w14:paraId="764CACC2" w14:textId="127D042E" w:rsidR="009E2F07" w:rsidRPr="009E2F07" w:rsidRDefault="00A127CC" w:rsidP="00D04923">
            <w:pPr>
              <w:pStyle w:val="BodyText"/>
              <w:spacing w:line="240" w:lineRule="auto"/>
              <w:ind w:right="144"/>
              <w:rPr>
                <w:color w:val="auto"/>
                <w:lang w:val="en-US"/>
              </w:rPr>
            </w:pPr>
            <w:r>
              <w:rPr>
                <w:color w:val="auto"/>
              </w:rPr>
              <w:t>TV514622</w:t>
            </w:r>
          </w:p>
        </w:tc>
        <w:tc>
          <w:tcPr>
            <w:tcW w:w="1984" w:type="dxa"/>
          </w:tcPr>
          <w:p w14:paraId="768C8695"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3544" w:type="dxa"/>
          </w:tcPr>
          <w:p w14:paraId="081408EE" w14:textId="49FC64F6" w:rsidR="009E2F07" w:rsidRPr="009E2F07" w:rsidRDefault="00ED6DB0" w:rsidP="00D04923">
            <w:pPr>
              <w:pStyle w:val="BodyText"/>
              <w:spacing w:line="240" w:lineRule="auto"/>
              <w:rPr>
                <w:color w:val="auto"/>
              </w:rPr>
            </w:pPr>
            <w:r>
              <w:rPr>
                <w:color w:val="auto"/>
              </w:rPr>
              <w:t>30463600</w:t>
            </w:r>
          </w:p>
        </w:tc>
      </w:tr>
      <w:tr w:rsidR="009E2F07" w14:paraId="415DA31F" w14:textId="77777777" w:rsidTr="00ED6DB0">
        <w:trPr>
          <w:trHeight w:val="471"/>
        </w:trPr>
        <w:tc>
          <w:tcPr>
            <w:tcW w:w="1413" w:type="dxa"/>
          </w:tcPr>
          <w:p w14:paraId="41E568DD"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3544" w:type="dxa"/>
          </w:tcPr>
          <w:p w14:paraId="18F4AAFF" w14:textId="7C7FD390" w:rsidR="009E2F07" w:rsidRPr="009E2F07" w:rsidRDefault="00D54E66" w:rsidP="00D04923">
            <w:pPr>
              <w:pStyle w:val="BodyText"/>
              <w:spacing w:line="240" w:lineRule="auto"/>
              <w:ind w:right="144"/>
              <w:rPr>
                <w:color w:val="auto"/>
                <w:lang w:val="en-US"/>
              </w:rPr>
            </w:pPr>
            <w:r>
              <w:rPr>
                <w:color w:val="auto"/>
              </w:rPr>
              <w:t>Registered Nurse</w:t>
            </w:r>
            <w:r w:rsidR="00166811">
              <w:rPr>
                <w:color w:val="auto"/>
              </w:rPr>
              <w:t>/</w:t>
            </w:r>
            <w:r w:rsidR="00166811" w:rsidRPr="00773815">
              <w:rPr>
                <w:color w:val="auto"/>
              </w:rPr>
              <w:t>Registered Midwife</w:t>
            </w:r>
          </w:p>
        </w:tc>
        <w:tc>
          <w:tcPr>
            <w:tcW w:w="1984" w:type="dxa"/>
          </w:tcPr>
          <w:p w14:paraId="7D50C1C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3544" w:type="dxa"/>
          </w:tcPr>
          <w:p w14:paraId="1E2660D6" w14:textId="22046C80" w:rsidR="009E2F07" w:rsidRPr="009E2F07" w:rsidRDefault="00ED6DB0" w:rsidP="00D04923">
            <w:pPr>
              <w:pStyle w:val="BodyText"/>
              <w:spacing w:line="240" w:lineRule="auto"/>
              <w:rPr>
                <w:color w:val="auto"/>
                <w:lang w:val="en-US"/>
              </w:rPr>
            </w:pPr>
            <w:r>
              <w:rPr>
                <w:color w:val="auto"/>
              </w:rPr>
              <w:t>Nurse Grade 5</w:t>
            </w:r>
          </w:p>
        </w:tc>
      </w:tr>
      <w:tr w:rsidR="009E2F07" w14:paraId="3F43B878" w14:textId="77777777" w:rsidTr="00ED6DB0">
        <w:trPr>
          <w:trHeight w:val="471"/>
        </w:trPr>
        <w:tc>
          <w:tcPr>
            <w:tcW w:w="1413" w:type="dxa"/>
          </w:tcPr>
          <w:p w14:paraId="4047AAA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3544" w:type="dxa"/>
          </w:tcPr>
          <w:p w14:paraId="186A08E8" w14:textId="078F1400" w:rsidR="009E2F07" w:rsidRPr="009E2F07" w:rsidRDefault="00A127CC" w:rsidP="00D04923">
            <w:pPr>
              <w:pStyle w:val="BodyText"/>
              <w:spacing w:line="240" w:lineRule="auto"/>
              <w:ind w:right="144"/>
              <w:rPr>
                <w:color w:val="auto"/>
                <w:lang w:val="en-US"/>
              </w:rPr>
            </w:pPr>
            <w:r>
              <w:rPr>
                <w:color w:val="auto"/>
                <w:lang w:val="en-US"/>
              </w:rPr>
              <w:t>Permanent full-time and part-time</w:t>
            </w:r>
            <w:r>
              <w:rPr>
                <w:color w:val="auto"/>
                <w:lang w:val="en-US"/>
              </w:rPr>
              <w:br/>
              <w:t>(multiple positions</w:t>
            </w:r>
            <w:r w:rsidR="006808B8">
              <w:rPr>
                <w:color w:val="auto"/>
                <w:lang w:val="en-US"/>
              </w:rPr>
              <w:t xml:space="preserve"> available</w:t>
            </w:r>
            <w:r>
              <w:rPr>
                <w:color w:val="auto"/>
                <w:lang w:val="en-US"/>
              </w:rPr>
              <w:t>)</w:t>
            </w:r>
          </w:p>
        </w:tc>
        <w:tc>
          <w:tcPr>
            <w:tcW w:w="1984" w:type="dxa"/>
          </w:tcPr>
          <w:p w14:paraId="36E4700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Salary:</w:t>
            </w:r>
          </w:p>
        </w:tc>
        <w:tc>
          <w:tcPr>
            <w:tcW w:w="3544" w:type="dxa"/>
          </w:tcPr>
          <w:p w14:paraId="74AA2B15" w14:textId="1B16D279" w:rsidR="009E2F07" w:rsidRPr="009E2F07" w:rsidRDefault="00A127CC" w:rsidP="00D04923">
            <w:pPr>
              <w:pStyle w:val="BodyText"/>
              <w:spacing w:line="240" w:lineRule="auto"/>
              <w:rPr>
                <w:color w:val="auto"/>
                <w:lang w:val="en-US"/>
              </w:rPr>
            </w:pPr>
            <w:r>
              <w:rPr>
                <w:color w:val="auto"/>
              </w:rPr>
              <w:t>$</w:t>
            </w:r>
            <w:r w:rsidRPr="00A127CC">
              <w:rPr>
                <w:color w:val="auto"/>
              </w:rPr>
              <w:t>3079.50</w:t>
            </w:r>
            <w:r>
              <w:rPr>
                <w:color w:val="auto"/>
              </w:rPr>
              <w:t>-$</w:t>
            </w:r>
            <w:r w:rsidRPr="00A127CC">
              <w:rPr>
                <w:color w:val="auto"/>
              </w:rPr>
              <w:t>3950.00</w:t>
            </w:r>
            <w:r w:rsidR="005811D1">
              <w:rPr>
                <w:color w:val="auto"/>
              </w:rPr>
              <w:t xml:space="preserve"> </w:t>
            </w:r>
            <w:r w:rsidR="00D04923">
              <w:rPr>
                <w:color w:val="auto"/>
              </w:rPr>
              <w:br/>
            </w:r>
            <w:r w:rsidR="007405A4" w:rsidRPr="007405A4">
              <w:rPr>
                <w:color w:val="auto"/>
              </w:rPr>
              <w:t>per fortnight</w:t>
            </w:r>
            <w:r>
              <w:rPr>
                <w:color w:val="auto"/>
              </w:rPr>
              <w:t xml:space="preserve"> (full-time)</w:t>
            </w:r>
            <w:r>
              <w:rPr>
                <w:color w:val="auto"/>
              </w:rPr>
              <w:br/>
            </w:r>
            <w:r>
              <w:rPr>
                <w:color w:val="auto"/>
                <w:lang w:val="en-US"/>
              </w:rPr>
              <w:br/>
            </w:r>
            <w:r w:rsidRPr="00A127CC">
              <w:rPr>
                <w:color w:val="auto"/>
                <w:lang w:val="en-US"/>
              </w:rPr>
              <w:t>$40.51-$51.97</w:t>
            </w:r>
            <w:r>
              <w:rPr>
                <w:color w:val="auto"/>
                <w:lang w:val="en-US"/>
              </w:rPr>
              <w:br/>
              <w:t>per hour (part-time)</w:t>
            </w:r>
          </w:p>
        </w:tc>
      </w:tr>
      <w:tr w:rsidR="007405A4" w14:paraId="12BD4723" w14:textId="77777777" w:rsidTr="00ED6DB0">
        <w:trPr>
          <w:trHeight w:val="453"/>
        </w:trPr>
        <w:tc>
          <w:tcPr>
            <w:tcW w:w="1413" w:type="dxa"/>
            <w:vMerge w:val="restart"/>
          </w:tcPr>
          <w:p w14:paraId="2408A68B"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p>
        </w:tc>
        <w:tc>
          <w:tcPr>
            <w:tcW w:w="3544" w:type="dxa"/>
            <w:vMerge w:val="restart"/>
          </w:tcPr>
          <w:p w14:paraId="78329E15" w14:textId="0F3C528D" w:rsidR="007405A4" w:rsidRPr="009E2F07" w:rsidRDefault="00D54E66" w:rsidP="00D04923">
            <w:pPr>
              <w:pStyle w:val="BodyText"/>
              <w:spacing w:line="240" w:lineRule="auto"/>
              <w:ind w:right="144"/>
              <w:rPr>
                <w:color w:val="auto"/>
              </w:rPr>
            </w:pPr>
            <w:r>
              <w:rPr>
                <w:color w:val="auto"/>
              </w:rPr>
              <w:t>Nursing and Midwifery Workforce Services</w:t>
            </w:r>
          </w:p>
        </w:tc>
        <w:tc>
          <w:tcPr>
            <w:tcW w:w="1984" w:type="dxa"/>
          </w:tcPr>
          <w:p w14:paraId="48E78430"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3544" w:type="dxa"/>
          </w:tcPr>
          <w:p w14:paraId="74C70950" w14:textId="712642A9" w:rsidR="007405A4" w:rsidRPr="00D32D5C" w:rsidRDefault="00ED6DB0" w:rsidP="00D04923">
            <w:pPr>
              <w:spacing w:before="120" w:after="120"/>
              <w:rPr>
                <w:szCs w:val="20"/>
                <w:highlight w:val="yellow"/>
              </w:rPr>
            </w:pPr>
            <w:r w:rsidRPr="00773815">
              <w:t>Nursing and Midwifery Workforce Services</w:t>
            </w:r>
          </w:p>
        </w:tc>
      </w:tr>
      <w:tr w:rsidR="007405A4" w14:paraId="66DD5732" w14:textId="77777777" w:rsidTr="00ED6DB0">
        <w:trPr>
          <w:trHeight w:val="486"/>
        </w:trPr>
        <w:tc>
          <w:tcPr>
            <w:tcW w:w="1413" w:type="dxa"/>
            <w:vMerge/>
          </w:tcPr>
          <w:p w14:paraId="025ED3F9" w14:textId="77777777" w:rsidR="007405A4" w:rsidRPr="00026DE9" w:rsidRDefault="007405A4" w:rsidP="00D04923">
            <w:pPr>
              <w:pStyle w:val="BodyText"/>
              <w:spacing w:line="240" w:lineRule="auto"/>
              <w:rPr>
                <w:b/>
                <w:color w:val="003591" w:themeColor="text2"/>
                <w:lang w:val="en-US"/>
              </w:rPr>
            </w:pPr>
          </w:p>
        </w:tc>
        <w:tc>
          <w:tcPr>
            <w:tcW w:w="3544" w:type="dxa"/>
            <w:vMerge/>
          </w:tcPr>
          <w:p w14:paraId="0AF6AB29" w14:textId="77777777" w:rsidR="007405A4" w:rsidRPr="009E2F07" w:rsidRDefault="007405A4" w:rsidP="00D04923">
            <w:pPr>
              <w:pStyle w:val="BodyText"/>
              <w:spacing w:line="240" w:lineRule="auto"/>
              <w:ind w:right="144"/>
              <w:rPr>
                <w:color w:val="auto"/>
              </w:rPr>
            </w:pPr>
          </w:p>
        </w:tc>
        <w:tc>
          <w:tcPr>
            <w:tcW w:w="1984" w:type="dxa"/>
          </w:tcPr>
          <w:p w14:paraId="3411041D"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3544" w:type="dxa"/>
          </w:tcPr>
          <w:p w14:paraId="0BD78A32" w14:textId="750E97E7" w:rsidR="007405A4" w:rsidRPr="00D32D5C" w:rsidRDefault="007405A4" w:rsidP="00D04923">
            <w:pPr>
              <w:spacing w:before="120" w:after="120"/>
              <w:rPr>
                <w:szCs w:val="20"/>
                <w:highlight w:val="yellow"/>
              </w:rPr>
            </w:pPr>
            <w:r w:rsidRPr="00773815">
              <w:rPr>
                <w:szCs w:val="20"/>
              </w:rPr>
              <w:t>07 4433</w:t>
            </w:r>
            <w:r w:rsidR="00ED6DB0" w:rsidRPr="00773815">
              <w:rPr>
                <w:szCs w:val="20"/>
              </w:rPr>
              <w:t xml:space="preserve"> </w:t>
            </w:r>
            <w:r w:rsidR="005417FE" w:rsidRPr="00773815">
              <w:rPr>
                <w:szCs w:val="20"/>
              </w:rPr>
              <w:t>1722</w:t>
            </w:r>
          </w:p>
        </w:tc>
      </w:tr>
      <w:tr w:rsidR="009E2F07" w14:paraId="02A2AEEB" w14:textId="77777777" w:rsidTr="00ED6DB0">
        <w:trPr>
          <w:trHeight w:val="486"/>
        </w:trPr>
        <w:tc>
          <w:tcPr>
            <w:tcW w:w="1413" w:type="dxa"/>
          </w:tcPr>
          <w:p w14:paraId="5467161B"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3544" w:type="dxa"/>
          </w:tcPr>
          <w:p w14:paraId="11C7F269" w14:textId="137FE887" w:rsidR="009E2F07" w:rsidRPr="009E2F07" w:rsidRDefault="00ED6DB0" w:rsidP="00D04923">
            <w:pPr>
              <w:pStyle w:val="BodyText"/>
              <w:spacing w:line="240" w:lineRule="auto"/>
              <w:ind w:right="144"/>
              <w:rPr>
                <w:color w:val="auto"/>
                <w:lang w:val="en-US"/>
              </w:rPr>
            </w:pPr>
            <w:r>
              <w:rPr>
                <w:color w:val="auto"/>
              </w:rPr>
              <w:t>Townsville</w:t>
            </w:r>
          </w:p>
        </w:tc>
        <w:tc>
          <w:tcPr>
            <w:tcW w:w="1984" w:type="dxa"/>
          </w:tcPr>
          <w:p w14:paraId="3EAB6F8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3544" w:type="dxa"/>
          </w:tcPr>
          <w:p w14:paraId="4C7A15C9" w14:textId="4385E616" w:rsidR="00CC6337" w:rsidRPr="009E2F07" w:rsidRDefault="00A127CC" w:rsidP="00EB70DC">
            <w:pPr>
              <w:pStyle w:val="BodyText"/>
              <w:spacing w:line="240" w:lineRule="auto"/>
              <w:rPr>
                <w:color w:val="auto"/>
                <w:lang w:val="en-US"/>
              </w:rPr>
            </w:pPr>
            <w:r>
              <w:rPr>
                <w:color w:val="auto"/>
                <w:lang w:val="en-US"/>
              </w:rPr>
              <w:t>Sunday September 2024</w:t>
            </w:r>
          </w:p>
        </w:tc>
      </w:tr>
    </w:tbl>
    <w:p w14:paraId="361D1A41" w14:textId="191BA436" w:rsidR="00B30147" w:rsidRDefault="00B30147" w:rsidP="00CC6337">
      <w:pPr>
        <w:pStyle w:val="Heading1"/>
        <w:spacing w:before="240" w:after="120"/>
        <w:rPr>
          <w:sz w:val="24"/>
          <w:szCs w:val="24"/>
        </w:rPr>
      </w:pPr>
      <w:r w:rsidRPr="00CC6337">
        <w:rPr>
          <w:sz w:val="24"/>
          <w:szCs w:val="24"/>
        </w:rPr>
        <w:t>The Opportunity</w:t>
      </w:r>
    </w:p>
    <w:p w14:paraId="54775F9E" w14:textId="26C94563" w:rsidR="00EB70DC" w:rsidRPr="00773815" w:rsidRDefault="00EB70DC" w:rsidP="00EB70DC">
      <w:pPr>
        <w:pStyle w:val="BodyText"/>
        <w:rPr>
          <w:lang w:val="en-US"/>
        </w:rPr>
      </w:pPr>
      <w:bookmarkStart w:id="2" w:name="_Hlk146195346"/>
      <w:r>
        <w:rPr>
          <w:lang w:val="en-US"/>
        </w:rPr>
        <w:t>Registered Nurse</w:t>
      </w:r>
      <w:r w:rsidR="000127CF">
        <w:rPr>
          <w:lang w:val="en-US"/>
        </w:rPr>
        <w:t>/</w:t>
      </w:r>
      <w:r w:rsidR="000127CF" w:rsidRPr="00773815">
        <w:rPr>
          <w:lang w:val="en-US"/>
        </w:rPr>
        <w:t>Registered Midwife</w:t>
      </w:r>
      <w:r w:rsidRPr="00773815">
        <w:rPr>
          <w:lang w:val="en-US"/>
        </w:rPr>
        <w:t xml:space="preserve"> provide</w:t>
      </w:r>
      <w:r w:rsidR="000127CF" w:rsidRPr="00773815">
        <w:rPr>
          <w:lang w:val="en-US"/>
        </w:rPr>
        <w:t>s</w:t>
      </w:r>
      <w:r w:rsidRPr="00773815">
        <w:rPr>
          <w:lang w:val="en-US"/>
        </w:rPr>
        <w:t xml:space="preserve"> safe and compassionate clinical care to patients across Townsville Hospital and Health Service (THHS). </w:t>
      </w:r>
      <w:r w:rsidR="000127CF" w:rsidRPr="00773815">
        <w:rPr>
          <w:lang w:val="en-US"/>
        </w:rPr>
        <w:t xml:space="preserve"> The Registered Nurse/Registered Midwife</w:t>
      </w:r>
      <w:r w:rsidRPr="00773815">
        <w:rPr>
          <w:lang w:val="en-US"/>
        </w:rPr>
        <w:t xml:space="preserve"> </w:t>
      </w:r>
      <w:r w:rsidR="000127CF" w:rsidRPr="00773815">
        <w:rPr>
          <w:lang w:val="en-US"/>
        </w:rPr>
        <w:t>is a</w:t>
      </w:r>
      <w:r w:rsidRPr="00773815">
        <w:rPr>
          <w:lang w:val="en-US"/>
        </w:rPr>
        <w:t xml:space="preserve"> key part of the health care team, providing person-centred care to patients, families and carers through effective assessment, planning, implementation, and evaluation. </w:t>
      </w:r>
    </w:p>
    <w:p w14:paraId="61C7B622" w14:textId="71663FAA" w:rsidR="00EB70DC" w:rsidRPr="00EB70DC" w:rsidRDefault="00EB70DC" w:rsidP="00EB70DC">
      <w:pPr>
        <w:pStyle w:val="BodyText"/>
        <w:rPr>
          <w:lang w:val="en-US"/>
        </w:rPr>
      </w:pPr>
      <w:r w:rsidRPr="00773815">
        <w:rPr>
          <w:lang w:val="en-US"/>
        </w:rPr>
        <w:t xml:space="preserve">Nursing and Midwifery Workforce Services (NMWS) offer a range of positions and negotiable hours in the Nursing Midwifery Staffing Team (NMST). </w:t>
      </w:r>
      <w:r w:rsidR="00A127CC" w:rsidRPr="00773815">
        <w:rPr>
          <w:lang w:val="en-US"/>
        </w:rPr>
        <w:t xml:space="preserve"> </w:t>
      </w:r>
      <w:r w:rsidR="000127CF" w:rsidRPr="00773815">
        <w:rPr>
          <w:lang w:val="en-US"/>
        </w:rPr>
        <w:t xml:space="preserve">The Registered Nurse/Registered Midwife </w:t>
      </w:r>
      <w:r w:rsidRPr="00773815">
        <w:rPr>
          <w:lang w:val="en-US"/>
        </w:rPr>
        <w:t>in</w:t>
      </w:r>
      <w:r>
        <w:rPr>
          <w:lang w:val="en-US"/>
        </w:rPr>
        <w:t xml:space="preserve"> NMST will be rostered and allocated to a variety of acute and non-acute clinical areas with opportunities in adults, paediatrics, mental </w:t>
      </w:r>
      <w:proofErr w:type="gramStart"/>
      <w:r>
        <w:rPr>
          <w:lang w:val="en-US"/>
        </w:rPr>
        <w:t>health</w:t>
      </w:r>
      <w:proofErr w:type="gramEnd"/>
      <w:r>
        <w:rPr>
          <w:lang w:val="en-US"/>
        </w:rPr>
        <w:t xml:space="preserve"> and other specialty areas including community and rural. </w:t>
      </w:r>
    </w:p>
    <w:bookmarkEnd w:id="2"/>
    <w:p w14:paraId="2AA63CE1" w14:textId="64A73EF3" w:rsidR="00026DE9" w:rsidRDefault="00026DE9" w:rsidP="00CC6337">
      <w:pPr>
        <w:pStyle w:val="Heading1"/>
        <w:spacing w:before="240" w:after="120"/>
        <w:rPr>
          <w:sz w:val="24"/>
          <w:szCs w:val="24"/>
        </w:rPr>
      </w:pPr>
      <w:r w:rsidRPr="00D04923">
        <w:rPr>
          <w:sz w:val="24"/>
          <w:szCs w:val="24"/>
        </w:rPr>
        <w:t>Reporting line, staffing, and budget responsibilities</w:t>
      </w:r>
      <w:bookmarkStart w:id="3" w:name="Text22"/>
    </w:p>
    <w:p w14:paraId="5793DB99" w14:textId="77777777" w:rsidR="00ED6DB0" w:rsidRPr="000253B0" w:rsidRDefault="00ED6DB0" w:rsidP="00ED6DB0">
      <w:pPr>
        <w:numPr>
          <w:ilvl w:val="0"/>
          <w:numId w:val="12"/>
        </w:numPr>
        <w:spacing w:before="60"/>
        <w:rPr>
          <w:rFonts w:cs="Arial"/>
          <w:b/>
          <w:szCs w:val="20"/>
        </w:rPr>
      </w:pPr>
      <w:r>
        <w:rPr>
          <w:noProof/>
          <w:color w:val="000000"/>
          <w:szCs w:val="20"/>
        </w:rPr>
        <w:t>This position reports operationally to the Nurse Manager.</w:t>
      </w:r>
    </w:p>
    <w:p w14:paraId="7F26E456" w14:textId="35754340" w:rsidR="00ED6DB0" w:rsidRPr="00ED6DB0" w:rsidRDefault="00ED6DB0" w:rsidP="00ED6DB0">
      <w:pPr>
        <w:numPr>
          <w:ilvl w:val="0"/>
          <w:numId w:val="12"/>
        </w:numPr>
        <w:spacing w:before="120"/>
        <w:ind w:left="357" w:hanging="357"/>
        <w:rPr>
          <w:rFonts w:cs="Arial"/>
          <w:b/>
          <w:szCs w:val="20"/>
        </w:rPr>
      </w:pPr>
      <w:r>
        <w:rPr>
          <w:noProof/>
          <w:color w:val="000000"/>
          <w:szCs w:val="20"/>
        </w:rPr>
        <w:t>All nursing and midwifery positions report professionally through the relevant Service Group nursing and midwifery structure to the Executive Director of Nursing and Midwifery.</w:t>
      </w:r>
    </w:p>
    <w:bookmarkEnd w:id="3"/>
    <w:p w14:paraId="7A35A13F" w14:textId="5C68D945" w:rsidR="009E2F07" w:rsidRPr="00CC6337" w:rsidRDefault="00382B6C" w:rsidP="00CC6337">
      <w:pPr>
        <w:pStyle w:val="Heading1"/>
        <w:spacing w:before="240" w:after="120"/>
        <w:rPr>
          <w:sz w:val="24"/>
          <w:szCs w:val="24"/>
        </w:rPr>
      </w:pPr>
      <w:r w:rsidRPr="009E2F07">
        <w:rPr>
          <w:sz w:val="24"/>
          <w:szCs w:val="24"/>
        </w:rPr>
        <w:t>The role</w:t>
      </w:r>
      <w:bookmarkStart w:id="4" w:name="Text12"/>
    </w:p>
    <w:bookmarkEnd w:id="4"/>
    <w:p w14:paraId="39AED449" w14:textId="77777777" w:rsidR="00ED6DB0" w:rsidRDefault="00ED6DB0" w:rsidP="00ED6DB0">
      <w:pPr>
        <w:spacing w:before="120" w:after="120"/>
        <w:rPr>
          <w:i/>
          <w:color w:val="00A1DE"/>
          <w:szCs w:val="20"/>
        </w:rPr>
      </w:pPr>
      <w:r>
        <w:rPr>
          <w:i/>
          <w:color w:val="00A1DE"/>
          <w:szCs w:val="20"/>
        </w:rPr>
        <w:t>Autonomy</w:t>
      </w:r>
    </w:p>
    <w:p w14:paraId="30381D67" w14:textId="77777777" w:rsidR="00EB70DC" w:rsidRPr="00F459C2" w:rsidRDefault="00EB70DC" w:rsidP="00EB70DC">
      <w:pPr>
        <w:pStyle w:val="BodyText"/>
        <w:numPr>
          <w:ilvl w:val="0"/>
          <w:numId w:val="12"/>
        </w:numPr>
        <w:rPr>
          <w:lang w:eastAsia="en-AU"/>
        </w:rPr>
      </w:pPr>
      <w:r>
        <w:rPr>
          <w:rFonts w:cs="Arial"/>
          <w:szCs w:val="20"/>
        </w:rPr>
        <w:t xml:space="preserve">Practices </w:t>
      </w:r>
      <w:r w:rsidRPr="00F459C2">
        <w:rPr>
          <w:lang w:eastAsia="en-AU"/>
        </w:rPr>
        <w:t>independently and interdependently.</w:t>
      </w:r>
    </w:p>
    <w:p w14:paraId="73CCB316" w14:textId="77777777" w:rsidR="00EB70DC" w:rsidRPr="00F459C2" w:rsidRDefault="00EB70DC" w:rsidP="00EB70DC">
      <w:pPr>
        <w:pStyle w:val="BodyText"/>
        <w:numPr>
          <w:ilvl w:val="0"/>
          <w:numId w:val="12"/>
        </w:numPr>
        <w:rPr>
          <w:lang w:eastAsia="en-AU"/>
        </w:rPr>
      </w:pPr>
      <w:r w:rsidRPr="00F459C2">
        <w:rPr>
          <w:lang w:eastAsia="en-AU"/>
        </w:rPr>
        <w:t>Assumes accountability and responsibility for own actions and delegation of care to enrolled nurses, assistants in nursing and healthcare workers.</w:t>
      </w:r>
    </w:p>
    <w:p w14:paraId="0EFF4C74" w14:textId="77777777" w:rsidR="00EB70DC" w:rsidRDefault="00EB70DC" w:rsidP="00EB70DC">
      <w:pPr>
        <w:pStyle w:val="BodyText"/>
        <w:numPr>
          <w:ilvl w:val="0"/>
          <w:numId w:val="12"/>
        </w:numPr>
        <w:rPr>
          <w:rFonts w:cs="Arial"/>
          <w:szCs w:val="20"/>
        </w:rPr>
      </w:pPr>
      <w:r w:rsidRPr="00F459C2">
        <w:rPr>
          <w:lang w:eastAsia="en-AU"/>
        </w:rPr>
        <w:lastRenderedPageBreak/>
        <w:t>Demonstrates evidence of increasing autonomy and exercise greater levels of professional judgement in the clinical environment as the employee</w:t>
      </w:r>
      <w:r>
        <w:rPr>
          <w:rFonts w:cs="Arial"/>
          <w:szCs w:val="20"/>
        </w:rPr>
        <w:t xml:space="preserve"> moves from a beginning to experienced practitioner.</w:t>
      </w:r>
    </w:p>
    <w:p w14:paraId="0F6E5092" w14:textId="77777777" w:rsidR="00ED6DB0" w:rsidRPr="00FC5513" w:rsidRDefault="00ED6DB0" w:rsidP="007D703F">
      <w:pPr>
        <w:pStyle w:val="BodyText"/>
        <w:spacing w:before="240" w:after="40" w:line="240" w:lineRule="auto"/>
        <w:rPr>
          <w:color w:val="auto"/>
        </w:rPr>
      </w:pPr>
      <w:r w:rsidRPr="009E2F07">
        <w:rPr>
          <w:i/>
          <w:color w:val="00A1DE"/>
          <w:szCs w:val="20"/>
        </w:rPr>
        <w:t>Responsibilities:</w:t>
      </w:r>
    </w:p>
    <w:p w14:paraId="161599CE" w14:textId="77777777" w:rsidR="00ED6DB0" w:rsidRPr="00241EAD" w:rsidRDefault="00ED6DB0" w:rsidP="00ED6DB0">
      <w:pPr>
        <w:spacing w:before="60"/>
        <w:rPr>
          <w:rFonts w:cs="Arial"/>
          <w:u w:val="single"/>
        </w:rPr>
      </w:pPr>
      <w:r>
        <w:rPr>
          <w:rFonts w:cs="Arial"/>
          <w:u w:val="single"/>
        </w:rPr>
        <w:t>Domain 1: Direct Comprehensive C</w:t>
      </w:r>
      <w:r w:rsidRPr="00241EAD">
        <w:rPr>
          <w:rFonts w:cs="Arial"/>
          <w:u w:val="single"/>
        </w:rPr>
        <w:t>are</w:t>
      </w:r>
    </w:p>
    <w:p w14:paraId="20ED6E4D" w14:textId="77777777" w:rsidR="00EB70DC" w:rsidRPr="00F459C2" w:rsidRDefault="00EB70DC" w:rsidP="00EB70DC">
      <w:pPr>
        <w:pStyle w:val="BodyText"/>
        <w:numPr>
          <w:ilvl w:val="0"/>
          <w:numId w:val="12"/>
        </w:numPr>
        <w:rPr>
          <w:lang w:eastAsia="en-AU"/>
        </w:rPr>
      </w:pPr>
      <w:bookmarkStart w:id="5" w:name="_Hlk521499661"/>
      <w:bookmarkStart w:id="6" w:name="_Hlk518473794"/>
      <w:r w:rsidRPr="0089724D">
        <w:rPr>
          <w:rFonts w:cs="Arial"/>
          <w:szCs w:val="20"/>
        </w:rPr>
        <w:t xml:space="preserve">Accountable for </w:t>
      </w:r>
      <w:r w:rsidRPr="00F459C2">
        <w:rPr>
          <w:lang w:eastAsia="en-AU"/>
        </w:rPr>
        <w:t xml:space="preserve">Nursing and Midwifery Board of Australia (NMBA) and own standards, actions and the outcomes of own nursing practice, professional advice given and for activities delegated to a registered nurse/midwife, enrolled </w:t>
      </w:r>
      <w:proofErr w:type="gramStart"/>
      <w:r w:rsidRPr="00F459C2">
        <w:rPr>
          <w:lang w:eastAsia="en-AU"/>
        </w:rPr>
        <w:t>nurse</w:t>
      </w:r>
      <w:proofErr w:type="gramEnd"/>
      <w:r w:rsidRPr="00F459C2">
        <w:rPr>
          <w:lang w:eastAsia="en-AU"/>
        </w:rPr>
        <w:t xml:space="preserve"> or unregulated healthcare worker.</w:t>
      </w:r>
    </w:p>
    <w:p w14:paraId="4FAD38C5" w14:textId="77777777" w:rsidR="00EB70DC" w:rsidRPr="00F459C2" w:rsidRDefault="00EB70DC" w:rsidP="00EB70DC">
      <w:pPr>
        <w:pStyle w:val="BodyText"/>
        <w:numPr>
          <w:ilvl w:val="0"/>
          <w:numId w:val="12"/>
        </w:numPr>
        <w:rPr>
          <w:lang w:eastAsia="en-AU"/>
        </w:rPr>
      </w:pPr>
      <w:r w:rsidRPr="00F459C2">
        <w:rPr>
          <w:lang w:eastAsia="en-AU"/>
        </w:rPr>
        <w:t>Consolidate educational preparation and increase knowledge and skills while moving from beginner to experienced practice.</w:t>
      </w:r>
    </w:p>
    <w:p w14:paraId="4367AB44" w14:textId="77777777" w:rsidR="00EB70DC" w:rsidRPr="00F459C2" w:rsidRDefault="00EB70DC" w:rsidP="00EB70DC">
      <w:pPr>
        <w:pStyle w:val="BodyText"/>
        <w:numPr>
          <w:ilvl w:val="0"/>
          <w:numId w:val="12"/>
        </w:numPr>
        <w:rPr>
          <w:lang w:eastAsia="en-AU"/>
        </w:rPr>
      </w:pPr>
      <w:r w:rsidRPr="00F459C2">
        <w:rPr>
          <w:lang w:eastAsia="en-AU"/>
        </w:rPr>
        <w:t xml:space="preserve">Assess, plan, implement and evaluate nursing care in collaboration with individuals, </w:t>
      </w:r>
      <w:proofErr w:type="gramStart"/>
      <w:r w:rsidRPr="00F459C2">
        <w:rPr>
          <w:lang w:eastAsia="en-AU"/>
        </w:rPr>
        <w:t>peers</w:t>
      </w:r>
      <w:proofErr w:type="gramEnd"/>
      <w:r w:rsidRPr="00F459C2">
        <w:rPr>
          <w:lang w:eastAsia="en-AU"/>
        </w:rPr>
        <w:t xml:space="preserve"> and the healthcare team to achieve goals and health outcomes.</w:t>
      </w:r>
    </w:p>
    <w:p w14:paraId="7B223767" w14:textId="77777777" w:rsidR="00EB70DC" w:rsidRDefault="00EB70DC" w:rsidP="00EB70DC">
      <w:pPr>
        <w:pStyle w:val="BodyText"/>
        <w:numPr>
          <w:ilvl w:val="0"/>
          <w:numId w:val="12"/>
        </w:numPr>
        <w:rPr>
          <w:rFonts w:cs="Arial"/>
          <w:szCs w:val="20"/>
        </w:rPr>
      </w:pPr>
      <w:r w:rsidRPr="00F459C2">
        <w:rPr>
          <w:lang w:eastAsia="en-AU"/>
        </w:rPr>
        <w:t>Make appropriate referral to, and consult with peers, other relevant health professionals, service providers, and community and support services</w:t>
      </w:r>
      <w:r w:rsidRPr="0089724D">
        <w:rPr>
          <w:rFonts w:cs="Arial"/>
          <w:szCs w:val="20"/>
        </w:rPr>
        <w:t>.</w:t>
      </w:r>
    </w:p>
    <w:bookmarkEnd w:id="5"/>
    <w:bookmarkEnd w:id="6"/>
    <w:p w14:paraId="5B1CC1C8" w14:textId="77777777" w:rsidR="00ED6DB0" w:rsidRPr="001E5747" w:rsidRDefault="00ED6DB0" w:rsidP="00ED6DB0">
      <w:pPr>
        <w:spacing w:before="240"/>
        <w:rPr>
          <w:noProof/>
          <w:color w:val="000000"/>
          <w:szCs w:val="20"/>
          <w:u w:val="single"/>
        </w:rPr>
      </w:pPr>
      <w:r w:rsidRPr="001E5747">
        <w:rPr>
          <w:rFonts w:cs="Arial"/>
          <w:szCs w:val="20"/>
          <w:u w:val="single"/>
        </w:rPr>
        <w:t>Domain 2: Support of Systems</w:t>
      </w:r>
    </w:p>
    <w:p w14:paraId="4D4FE5A4" w14:textId="77777777" w:rsidR="00EB70DC" w:rsidRPr="00F459C2" w:rsidRDefault="00EB70DC" w:rsidP="00EB70DC">
      <w:pPr>
        <w:pStyle w:val="BodyText"/>
        <w:numPr>
          <w:ilvl w:val="0"/>
          <w:numId w:val="12"/>
        </w:numPr>
        <w:rPr>
          <w:lang w:eastAsia="en-AU"/>
        </w:rPr>
      </w:pPr>
      <w:r w:rsidRPr="0089724D">
        <w:rPr>
          <w:rFonts w:cs="Arial"/>
          <w:szCs w:val="20"/>
        </w:rPr>
        <w:t xml:space="preserve">Participate in </w:t>
      </w:r>
      <w:r w:rsidRPr="00F459C2">
        <w:rPr>
          <w:lang w:eastAsia="en-AU"/>
        </w:rPr>
        <w:t xml:space="preserve">developing, </w:t>
      </w:r>
      <w:proofErr w:type="gramStart"/>
      <w:r w:rsidRPr="00F459C2">
        <w:rPr>
          <w:lang w:eastAsia="en-AU"/>
        </w:rPr>
        <w:t>reviewing</w:t>
      </w:r>
      <w:proofErr w:type="gramEnd"/>
      <w:r w:rsidRPr="00F459C2">
        <w:rPr>
          <w:lang w:eastAsia="en-AU"/>
        </w:rPr>
        <w:t xml:space="preserve"> and evaluating clinical/nursing standards, guidelines, protocols, pathways, procedures, standards and systems of work.</w:t>
      </w:r>
    </w:p>
    <w:p w14:paraId="0D29902F" w14:textId="77777777" w:rsidR="00EB70DC" w:rsidRPr="00F459C2" w:rsidRDefault="00EB70DC" w:rsidP="00EB70DC">
      <w:pPr>
        <w:pStyle w:val="BodyText"/>
        <w:numPr>
          <w:ilvl w:val="0"/>
          <w:numId w:val="12"/>
        </w:numPr>
        <w:rPr>
          <w:lang w:eastAsia="en-AU"/>
        </w:rPr>
      </w:pPr>
      <w:r w:rsidRPr="00F459C2">
        <w:rPr>
          <w:lang w:eastAsia="en-AU"/>
        </w:rPr>
        <w:t xml:space="preserve">Adhere to established guidelines, protocols, procedures, </w:t>
      </w:r>
      <w:proofErr w:type="gramStart"/>
      <w:r w:rsidRPr="00F459C2">
        <w:rPr>
          <w:lang w:eastAsia="en-AU"/>
        </w:rPr>
        <w:t>standards</w:t>
      </w:r>
      <w:proofErr w:type="gramEnd"/>
      <w:r w:rsidRPr="00F459C2">
        <w:rPr>
          <w:lang w:eastAsia="en-AU"/>
        </w:rPr>
        <w:t xml:space="preserve"> and systems of work as set out by the organisation.</w:t>
      </w:r>
    </w:p>
    <w:p w14:paraId="0E8D191E" w14:textId="77777777" w:rsidR="00EB70DC" w:rsidRPr="00F459C2" w:rsidRDefault="00EB70DC" w:rsidP="00EB70DC">
      <w:pPr>
        <w:pStyle w:val="BodyText"/>
        <w:numPr>
          <w:ilvl w:val="0"/>
          <w:numId w:val="12"/>
        </w:numPr>
        <w:rPr>
          <w:lang w:eastAsia="en-AU"/>
        </w:rPr>
      </w:pPr>
      <w:r w:rsidRPr="00F459C2">
        <w:rPr>
          <w:lang w:eastAsia="en-AU"/>
        </w:rPr>
        <w:t>Maintain the safety of recipients of healthcare services by identifying risk and underlining safe work activities within the clinical practice environment.</w:t>
      </w:r>
    </w:p>
    <w:p w14:paraId="560956A9" w14:textId="77777777" w:rsidR="00EB70DC" w:rsidRPr="00F459C2" w:rsidRDefault="00EB70DC" w:rsidP="00EB70DC">
      <w:pPr>
        <w:pStyle w:val="BodyText"/>
        <w:numPr>
          <w:ilvl w:val="0"/>
          <w:numId w:val="12"/>
        </w:numPr>
        <w:rPr>
          <w:lang w:eastAsia="en-AU"/>
        </w:rPr>
      </w:pPr>
      <w:r w:rsidRPr="00F459C2">
        <w:rPr>
          <w:lang w:eastAsia="en-AU"/>
        </w:rPr>
        <w:t>Participate in incident investigation and quality improvements to promote safe and /or rectify unsafe practice.</w:t>
      </w:r>
    </w:p>
    <w:p w14:paraId="3F4E652A" w14:textId="77777777" w:rsidR="00EB70DC" w:rsidRPr="00F459C2" w:rsidRDefault="00EB70DC" w:rsidP="00EB70DC">
      <w:pPr>
        <w:pStyle w:val="BodyText"/>
        <w:numPr>
          <w:ilvl w:val="0"/>
          <w:numId w:val="12"/>
        </w:numPr>
        <w:rPr>
          <w:lang w:eastAsia="en-AU"/>
        </w:rPr>
      </w:pPr>
      <w:r w:rsidRPr="00F459C2">
        <w:rPr>
          <w:lang w:eastAsia="en-AU"/>
        </w:rPr>
        <w:t>Provide support, guidance, preceptorship, supervision and mentoring to healthcare team as appropriate.</w:t>
      </w:r>
    </w:p>
    <w:p w14:paraId="3D8BD8F2" w14:textId="77777777" w:rsidR="00EB70DC" w:rsidRPr="00F459C2" w:rsidRDefault="00EB70DC" w:rsidP="00EB70DC">
      <w:pPr>
        <w:pStyle w:val="BodyText"/>
        <w:numPr>
          <w:ilvl w:val="0"/>
          <w:numId w:val="12"/>
        </w:numPr>
        <w:rPr>
          <w:lang w:eastAsia="en-AU"/>
        </w:rPr>
      </w:pPr>
      <w:r w:rsidRPr="00F459C2">
        <w:rPr>
          <w:lang w:eastAsia="en-AU"/>
        </w:rPr>
        <w:t>Delegate to and supervise enrolled nurses and students consistent with the NMBA decision making framework and registered nurse standards for practice.</w:t>
      </w:r>
    </w:p>
    <w:p w14:paraId="390E89D7" w14:textId="77777777" w:rsidR="00EB70DC" w:rsidRPr="00F459C2" w:rsidRDefault="00EB70DC" w:rsidP="00EB70DC">
      <w:pPr>
        <w:pStyle w:val="BodyText"/>
        <w:numPr>
          <w:ilvl w:val="0"/>
          <w:numId w:val="12"/>
        </w:numPr>
        <w:rPr>
          <w:lang w:eastAsia="en-AU"/>
        </w:rPr>
      </w:pPr>
      <w:r w:rsidRPr="00F459C2">
        <w:rPr>
          <w:lang w:eastAsia="en-AU"/>
        </w:rPr>
        <w:t>Depending on service size/location may take on the role of team leader and/or shift coordinator, commensurate with the level of competence.</w:t>
      </w:r>
    </w:p>
    <w:p w14:paraId="11BF69B0" w14:textId="77777777" w:rsidR="00ED6DB0" w:rsidRDefault="00ED6DB0" w:rsidP="00A127CC">
      <w:pPr>
        <w:spacing w:before="240"/>
        <w:rPr>
          <w:color w:val="000000"/>
          <w:szCs w:val="20"/>
          <w:u w:val="single"/>
        </w:rPr>
      </w:pPr>
      <w:r w:rsidRPr="001E5747">
        <w:rPr>
          <w:color w:val="000000"/>
          <w:szCs w:val="20"/>
          <w:u w:val="single"/>
        </w:rPr>
        <w:t>Domain 3: Education</w:t>
      </w:r>
    </w:p>
    <w:p w14:paraId="66782DE9" w14:textId="77777777" w:rsidR="00EB70DC" w:rsidRPr="00F459C2" w:rsidRDefault="00EB70DC" w:rsidP="00EB70DC">
      <w:pPr>
        <w:pStyle w:val="BodyText"/>
        <w:numPr>
          <w:ilvl w:val="0"/>
          <w:numId w:val="12"/>
        </w:numPr>
        <w:rPr>
          <w:lang w:eastAsia="en-AU"/>
        </w:rPr>
      </w:pPr>
      <w:r w:rsidRPr="0089724D">
        <w:rPr>
          <w:rFonts w:cs="Arial"/>
          <w:szCs w:val="20"/>
        </w:rPr>
        <w:t xml:space="preserve">Contribute </w:t>
      </w:r>
      <w:r w:rsidRPr="00F459C2">
        <w:rPr>
          <w:lang w:eastAsia="en-AU"/>
        </w:rPr>
        <w:t>to quality healthcare through lifelong learning and professional development of herself/himself and others.</w:t>
      </w:r>
    </w:p>
    <w:p w14:paraId="2B8639F5" w14:textId="77777777" w:rsidR="00EB70DC" w:rsidRPr="00F459C2" w:rsidRDefault="00EB70DC" w:rsidP="00EB70DC">
      <w:pPr>
        <w:pStyle w:val="BodyText"/>
        <w:numPr>
          <w:ilvl w:val="0"/>
          <w:numId w:val="12"/>
        </w:numPr>
        <w:rPr>
          <w:lang w:eastAsia="en-AU"/>
        </w:rPr>
      </w:pPr>
      <w:r w:rsidRPr="00F459C2">
        <w:rPr>
          <w:lang w:eastAsia="en-AU"/>
        </w:rPr>
        <w:t>Provide health promotion and education to recipients of healthcare services and carers.</w:t>
      </w:r>
    </w:p>
    <w:p w14:paraId="576A3E93" w14:textId="77777777" w:rsidR="00EB70DC" w:rsidRDefault="00EB70DC" w:rsidP="00EB70DC">
      <w:pPr>
        <w:pStyle w:val="BodyText"/>
        <w:numPr>
          <w:ilvl w:val="0"/>
          <w:numId w:val="12"/>
        </w:numPr>
        <w:rPr>
          <w:rFonts w:cs="Arial"/>
          <w:szCs w:val="20"/>
        </w:rPr>
      </w:pPr>
      <w:r w:rsidRPr="00F459C2">
        <w:rPr>
          <w:lang w:eastAsia="en-AU"/>
        </w:rPr>
        <w:t xml:space="preserve">Support nursing/midwifery practice and learning experiences by providing in-service teaching, </w:t>
      </w:r>
      <w:proofErr w:type="gramStart"/>
      <w:r w:rsidRPr="00F459C2">
        <w:rPr>
          <w:lang w:eastAsia="en-AU"/>
        </w:rPr>
        <w:t>orientation</w:t>
      </w:r>
      <w:proofErr w:type="gramEnd"/>
      <w:r w:rsidRPr="00F459C2">
        <w:rPr>
          <w:lang w:eastAsia="en-AU"/>
        </w:rPr>
        <w:t xml:space="preserve"> and preceptorship for the nursing/midwifery</w:t>
      </w:r>
      <w:r w:rsidRPr="0089724D">
        <w:rPr>
          <w:rFonts w:cs="Arial"/>
          <w:szCs w:val="20"/>
        </w:rPr>
        <w:t xml:space="preserve"> team.</w:t>
      </w:r>
    </w:p>
    <w:p w14:paraId="20DBCF4B" w14:textId="77777777" w:rsidR="00ED6DB0" w:rsidRPr="006D760D" w:rsidRDefault="00ED6DB0" w:rsidP="00ED6DB0">
      <w:pPr>
        <w:spacing w:before="240"/>
        <w:rPr>
          <w:color w:val="000000"/>
          <w:szCs w:val="20"/>
          <w:u w:val="single"/>
        </w:rPr>
      </w:pPr>
      <w:r w:rsidRPr="006D760D">
        <w:rPr>
          <w:color w:val="000000"/>
          <w:szCs w:val="20"/>
          <w:u w:val="single"/>
        </w:rPr>
        <w:t>Domain 4: Research</w:t>
      </w:r>
    </w:p>
    <w:p w14:paraId="40C3398E" w14:textId="77777777" w:rsidR="00EB70DC" w:rsidRPr="00F459C2" w:rsidRDefault="00EB70DC" w:rsidP="00EB70DC">
      <w:pPr>
        <w:pStyle w:val="BodyText"/>
        <w:numPr>
          <w:ilvl w:val="0"/>
          <w:numId w:val="12"/>
        </w:numPr>
        <w:rPr>
          <w:lang w:eastAsia="en-AU"/>
        </w:rPr>
      </w:pPr>
      <w:r w:rsidRPr="0089724D">
        <w:rPr>
          <w:rFonts w:cs="Arial"/>
          <w:szCs w:val="20"/>
        </w:rPr>
        <w:t xml:space="preserve">Participate in </w:t>
      </w:r>
      <w:r w:rsidRPr="00F459C2">
        <w:rPr>
          <w:lang w:eastAsia="en-AU"/>
        </w:rPr>
        <w:t>evaluative and local action research activities.</w:t>
      </w:r>
    </w:p>
    <w:p w14:paraId="1C83CA4A" w14:textId="77777777" w:rsidR="00EB70DC" w:rsidRDefault="00EB70DC" w:rsidP="00EB70DC">
      <w:pPr>
        <w:pStyle w:val="BodyText"/>
        <w:numPr>
          <w:ilvl w:val="0"/>
          <w:numId w:val="12"/>
        </w:numPr>
        <w:rPr>
          <w:rFonts w:cs="Arial"/>
          <w:szCs w:val="20"/>
        </w:rPr>
      </w:pPr>
      <w:r w:rsidRPr="00F459C2">
        <w:rPr>
          <w:lang w:eastAsia="en-AU"/>
        </w:rPr>
        <w:t>Apply evidence-based guidelines</w:t>
      </w:r>
      <w:r w:rsidRPr="0089724D">
        <w:rPr>
          <w:rFonts w:cs="Arial"/>
          <w:szCs w:val="20"/>
        </w:rPr>
        <w:t xml:space="preserve"> to achieve positive care outcomes for recipients of healthcare services.</w:t>
      </w:r>
    </w:p>
    <w:p w14:paraId="3C82D595" w14:textId="77777777" w:rsidR="00ED6DB0" w:rsidRPr="006D760D" w:rsidRDefault="00ED6DB0" w:rsidP="00ED6DB0">
      <w:pPr>
        <w:spacing w:before="240"/>
        <w:rPr>
          <w:color w:val="000000"/>
          <w:szCs w:val="20"/>
          <w:u w:val="single"/>
        </w:rPr>
      </w:pPr>
      <w:r w:rsidRPr="006D760D">
        <w:rPr>
          <w:color w:val="000000"/>
          <w:szCs w:val="20"/>
          <w:u w:val="single"/>
        </w:rPr>
        <w:t>Domain 5: Professional Leadership</w:t>
      </w:r>
    </w:p>
    <w:p w14:paraId="57EAC04A" w14:textId="77777777" w:rsidR="00EB70DC" w:rsidRPr="00F459C2" w:rsidRDefault="00EB70DC" w:rsidP="00EB70DC">
      <w:pPr>
        <w:pStyle w:val="BodyText"/>
        <w:numPr>
          <w:ilvl w:val="0"/>
          <w:numId w:val="12"/>
        </w:numPr>
        <w:rPr>
          <w:lang w:eastAsia="en-AU"/>
        </w:rPr>
      </w:pPr>
      <w:r w:rsidRPr="0089724D">
        <w:rPr>
          <w:rFonts w:cs="Arial"/>
          <w:szCs w:val="20"/>
        </w:rPr>
        <w:t xml:space="preserve">Provide clinical </w:t>
      </w:r>
      <w:r w:rsidRPr="00F459C2">
        <w:rPr>
          <w:lang w:eastAsia="en-AU"/>
        </w:rPr>
        <w:t>leadership for professional and clinical practice.</w:t>
      </w:r>
    </w:p>
    <w:p w14:paraId="63DFBF08" w14:textId="77777777" w:rsidR="00EB70DC" w:rsidRPr="00F459C2" w:rsidRDefault="00EB70DC" w:rsidP="00EB70DC">
      <w:pPr>
        <w:pStyle w:val="BodyText"/>
        <w:numPr>
          <w:ilvl w:val="0"/>
          <w:numId w:val="12"/>
        </w:numPr>
        <w:rPr>
          <w:lang w:eastAsia="en-AU"/>
        </w:rPr>
      </w:pPr>
      <w:r w:rsidRPr="00F459C2">
        <w:rPr>
          <w:lang w:eastAsia="en-AU"/>
        </w:rPr>
        <w:t>Collaborate in clinical and organisational governance.</w:t>
      </w:r>
    </w:p>
    <w:p w14:paraId="19B0822E" w14:textId="77777777" w:rsidR="00EB70DC" w:rsidRPr="00F459C2" w:rsidRDefault="00EB70DC" w:rsidP="00EB70DC">
      <w:pPr>
        <w:pStyle w:val="BodyText"/>
        <w:numPr>
          <w:ilvl w:val="0"/>
          <w:numId w:val="12"/>
        </w:numPr>
        <w:rPr>
          <w:lang w:eastAsia="en-AU"/>
        </w:rPr>
      </w:pPr>
      <w:r w:rsidRPr="00F459C2">
        <w:rPr>
          <w:lang w:eastAsia="en-AU"/>
        </w:rPr>
        <w:t>Proactively engage with the clinical nurse/midwives and the healthcare team to achieve best practice outcomes within the work environment.</w:t>
      </w:r>
    </w:p>
    <w:p w14:paraId="265CACFD" w14:textId="77777777" w:rsidR="006808B8" w:rsidRDefault="006808B8">
      <w:pPr>
        <w:rPr>
          <w:i/>
          <w:color w:val="00A1DE"/>
          <w:szCs w:val="20"/>
        </w:rPr>
      </w:pPr>
      <w:r>
        <w:rPr>
          <w:i/>
          <w:color w:val="00A1DE"/>
          <w:szCs w:val="20"/>
        </w:rPr>
        <w:br w:type="page"/>
      </w:r>
    </w:p>
    <w:p w14:paraId="3FC330E5" w14:textId="763D3D11" w:rsidR="00ED6DB0" w:rsidRPr="00AA751D" w:rsidRDefault="00ED6DB0" w:rsidP="00ED6DB0">
      <w:pPr>
        <w:pStyle w:val="BodyText"/>
        <w:spacing w:before="240"/>
        <w:rPr>
          <w:lang w:eastAsia="en-AU"/>
        </w:rPr>
      </w:pPr>
      <w:r>
        <w:rPr>
          <w:i/>
          <w:color w:val="00A1DE"/>
          <w:szCs w:val="20"/>
        </w:rPr>
        <w:lastRenderedPageBreak/>
        <w:t>Additional:</w:t>
      </w:r>
    </w:p>
    <w:p w14:paraId="43D8CC4B" w14:textId="77777777" w:rsidR="00EB70DC" w:rsidRPr="00AA751D" w:rsidRDefault="00EB70DC" w:rsidP="00EB70DC">
      <w:pPr>
        <w:pStyle w:val="BodyText"/>
        <w:numPr>
          <w:ilvl w:val="0"/>
          <w:numId w:val="12"/>
        </w:numPr>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11" w:history="1">
        <w:r w:rsidRPr="00AA751D">
          <w:rPr>
            <w:color w:val="003591"/>
            <w:u w:val="single"/>
            <w:lang w:eastAsia="en-AU"/>
          </w:rPr>
          <w:t>values outlined for the public service</w:t>
        </w:r>
      </w:hyperlink>
      <w:r w:rsidRPr="00AA751D">
        <w:rPr>
          <w:lang w:eastAsia="en-AU"/>
        </w:rPr>
        <w:t xml:space="preserve"> with the Queensland Government.</w:t>
      </w:r>
    </w:p>
    <w:p w14:paraId="6F22322F" w14:textId="77777777" w:rsidR="00EB70DC" w:rsidRDefault="00EB70DC" w:rsidP="00EB70DC">
      <w:pPr>
        <w:pStyle w:val="BodyText"/>
        <w:numPr>
          <w:ilvl w:val="0"/>
          <w:numId w:val="12"/>
        </w:numPr>
        <w:rPr>
          <w:lang w:eastAsia="en-AU"/>
        </w:rPr>
      </w:pPr>
      <w:r w:rsidRPr="00AA751D">
        <w:rPr>
          <w:lang w:eastAsia="en-AU"/>
        </w:rPr>
        <w:t xml:space="preserve">Ensure that service standards, safety and quality are maintained through adherence to defined service quality standards and relevant occupational health and safety policies, </w:t>
      </w:r>
      <w:proofErr w:type="gramStart"/>
      <w:r w:rsidRPr="00AA751D">
        <w:rPr>
          <w:lang w:eastAsia="en-AU"/>
        </w:rPr>
        <w:t>procedures</w:t>
      </w:r>
      <w:proofErr w:type="gramEnd"/>
      <w:r w:rsidRPr="00AA751D">
        <w:rPr>
          <w:lang w:eastAsia="en-AU"/>
        </w:rPr>
        <w:t xml:space="preserve"> and work practices.</w:t>
      </w:r>
    </w:p>
    <w:p w14:paraId="0DEC2638" w14:textId="77777777" w:rsidR="00EB70DC" w:rsidRPr="00E96F1C" w:rsidRDefault="00EB70DC" w:rsidP="00EB70DC">
      <w:pPr>
        <w:pStyle w:val="BodyText"/>
        <w:numPr>
          <w:ilvl w:val="0"/>
          <w:numId w:val="12"/>
        </w:numPr>
        <w:rPr>
          <w:rFonts w:cs="Arial"/>
          <w:szCs w:val="20"/>
        </w:rPr>
      </w:pPr>
      <w:r>
        <w:rPr>
          <w:rFonts w:cs="Arial"/>
          <w:szCs w:val="20"/>
        </w:rPr>
        <w:t xml:space="preserve">Implement and monitor the organisation’s quality standards, occupational health and safety policies, procedures and </w:t>
      </w:r>
      <w:r w:rsidRPr="00F459C2">
        <w:rPr>
          <w:lang w:eastAsia="en-AU"/>
        </w:rPr>
        <w:t>programs</w:t>
      </w:r>
      <w:r>
        <w:rPr>
          <w:rFonts w:cs="Arial"/>
          <w:szCs w:val="20"/>
        </w:rPr>
        <w:t xml:space="preserve"> and provide clinical governance in the relevant work area.</w:t>
      </w:r>
    </w:p>
    <w:p w14:paraId="3782F09C" w14:textId="77777777" w:rsidR="00EB70DC" w:rsidRDefault="00EB70DC" w:rsidP="00EB70DC">
      <w:pPr>
        <w:pStyle w:val="BodyText"/>
        <w:numPr>
          <w:ilvl w:val="0"/>
          <w:numId w:val="12"/>
        </w:numPr>
        <w:rPr>
          <w:lang w:eastAsia="en-AU"/>
        </w:rPr>
      </w:pPr>
      <w:r w:rsidRPr="00AA751D">
        <w:rPr>
          <w:lang w:eastAsia="en-AU"/>
        </w:rPr>
        <w:t>Some roles within Queensland Health are designated as Vaccination Preventable Disease (VPD) risk roles.</w:t>
      </w:r>
      <w:r>
        <w:rPr>
          <w:lang w:eastAsia="en-AU"/>
        </w:rPr>
        <w:br/>
      </w:r>
      <w:r w:rsidRPr="00B947E8">
        <w:rPr>
          <w:b/>
          <w:lang w:eastAsia="en-AU"/>
        </w:rPr>
        <w:t>This is a VPD risk role.</w:t>
      </w:r>
    </w:p>
    <w:p w14:paraId="1B04ED9A" w14:textId="77777777" w:rsidR="009E2F07" w:rsidRPr="00CC6337" w:rsidRDefault="009E2F07" w:rsidP="00CC6337">
      <w:pPr>
        <w:pStyle w:val="Heading1"/>
        <w:spacing w:before="240" w:after="120"/>
        <w:rPr>
          <w:sz w:val="24"/>
          <w:szCs w:val="24"/>
        </w:rPr>
      </w:pPr>
      <w:r w:rsidRPr="00D04923">
        <w:rPr>
          <w:sz w:val="24"/>
          <w:szCs w:val="24"/>
        </w:rPr>
        <w:t xml:space="preserve">Work Health and Safety </w:t>
      </w:r>
    </w:p>
    <w:p w14:paraId="3CDC8A25" w14:textId="77777777" w:rsidR="00EB70DC" w:rsidRPr="002B5E06" w:rsidRDefault="00EB70DC" w:rsidP="00EB70DC">
      <w:pPr>
        <w:spacing w:before="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w:t>
      </w:r>
    </w:p>
    <w:p w14:paraId="73AC7D63" w14:textId="77777777" w:rsidR="00EB70DC" w:rsidRPr="002B5E06" w:rsidRDefault="00EB70DC" w:rsidP="00EB70DC">
      <w:pPr>
        <w:spacing w:before="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w:t>
      </w:r>
      <w:proofErr w:type="gramStart"/>
      <w:r w:rsidRPr="002B5E06">
        <w:rPr>
          <w:szCs w:val="20"/>
        </w:rPr>
        <w:t>volunteers</w:t>
      </w:r>
      <w:proofErr w:type="gramEnd"/>
      <w:r w:rsidRPr="002B5E06">
        <w:rPr>
          <w:szCs w:val="20"/>
        </w:rPr>
        <w:t xml:space="preserve"> and other persons, through the provision of a dynamic and comprehensive Health and Safety Management System (HSMS). The HSMS provides for proactive safety initiatives, early injury management practices with a strong focus on a safe and durable return to work.</w:t>
      </w:r>
    </w:p>
    <w:p w14:paraId="3B5337E6" w14:textId="77777777" w:rsidR="00EB70DC" w:rsidRPr="002B5E06" w:rsidRDefault="00EB70DC" w:rsidP="00EB70DC">
      <w:pPr>
        <w:spacing w:before="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6E9DBDBA" w14:textId="77777777" w:rsidR="009E2F07" w:rsidRPr="00CC6337" w:rsidRDefault="009E2F07" w:rsidP="00CC6337">
      <w:pPr>
        <w:pStyle w:val="Heading1"/>
        <w:spacing w:before="240" w:after="120"/>
        <w:rPr>
          <w:sz w:val="24"/>
          <w:szCs w:val="24"/>
        </w:rPr>
      </w:pPr>
      <w:r w:rsidRPr="00D04923">
        <w:rPr>
          <w:sz w:val="24"/>
          <w:szCs w:val="24"/>
        </w:rPr>
        <w:t>Safety and Quality</w:t>
      </w:r>
    </w:p>
    <w:p w14:paraId="5BFED6B5" w14:textId="21EB5A7D" w:rsidR="00EB70DC" w:rsidRDefault="00EB70DC" w:rsidP="00EB70DC">
      <w:pPr>
        <w:spacing w:before="120"/>
        <w:rPr>
          <w:i/>
          <w:iCs/>
        </w:rPr>
      </w:pPr>
      <w:bookmarkStart w:id="7" w:name="_Hlk78206119"/>
      <w:bookmarkStart w:id="8" w:name="_Hlk87019167"/>
      <w:r>
        <w:t xml:space="preserve">Relevant to the position, </w:t>
      </w:r>
      <w:r w:rsidRPr="00B947E8">
        <w:t xml:space="preserve">participate in the ongoing education, implementation, monitoring and evaluation of safety and </w:t>
      </w:r>
      <w:r w:rsidRPr="00B947E8">
        <w:rPr>
          <w:szCs w:val="20"/>
        </w:rPr>
        <w:t>quality</w:t>
      </w:r>
      <w:r w:rsidRPr="00B947E8">
        <w:t xml:space="preserve"> initiatives set by </w:t>
      </w:r>
      <w:hyperlink r:id="rId12" w:history="1">
        <w:r w:rsidRPr="00B947E8">
          <w:rPr>
            <w:rStyle w:val="Hyperlink"/>
          </w:rPr>
          <w:t>The Australian Commission on Safety and Quality in Health Care</w:t>
        </w:r>
      </w:hyperlink>
      <w:r w:rsidRPr="00B947E8">
        <w:t xml:space="preserve"> to achieve a safe high-quality and sustainable health system, including compliance with the National Safety and</w:t>
      </w:r>
      <w:r>
        <w:rPr>
          <w:i/>
          <w:iCs/>
        </w:rPr>
        <w:t xml:space="preserve"> Quality Health Services Standards.</w:t>
      </w:r>
    </w:p>
    <w:p w14:paraId="5CFB3471" w14:textId="246FEB92" w:rsidR="00D32D5C" w:rsidRDefault="00D32D5C" w:rsidP="00EB70DC">
      <w:pPr>
        <w:spacing w:before="120"/>
        <w:rPr>
          <w:i/>
          <w:iCs/>
        </w:rPr>
      </w:pPr>
      <w:r w:rsidRPr="00773815">
        <w:rPr>
          <w:szCs w:val="20"/>
        </w:rPr>
        <w:t xml:space="preserve">Relevant to the position, participate in the ongoing education, implementation, monitoring and evaluation of safety and quality initiatives relevant to </w:t>
      </w:r>
      <w:r w:rsidRPr="00773815">
        <w:rPr>
          <w:b/>
          <w:bCs/>
          <w:i/>
          <w:iCs/>
          <w:szCs w:val="20"/>
        </w:rPr>
        <w:t xml:space="preserve">Aged Care Quality and Safety Commission, Aged Care Quality </w:t>
      </w:r>
      <w:proofErr w:type="gramStart"/>
      <w:r w:rsidRPr="00773815">
        <w:rPr>
          <w:b/>
          <w:bCs/>
          <w:i/>
          <w:iCs/>
          <w:szCs w:val="20"/>
        </w:rPr>
        <w:t>Standards</w:t>
      </w:r>
      <w:proofErr w:type="gramEnd"/>
      <w:r w:rsidRPr="00773815">
        <w:rPr>
          <w:b/>
          <w:bCs/>
          <w:i/>
          <w:iCs/>
          <w:szCs w:val="20"/>
        </w:rPr>
        <w:t xml:space="preserve"> and the National Disability Insurance Scheme Practice Standards</w:t>
      </w:r>
      <w:r w:rsidRPr="00773815">
        <w:rPr>
          <w:szCs w:val="20"/>
        </w:rPr>
        <w:t>.</w:t>
      </w:r>
    </w:p>
    <w:p w14:paraId="782768BB" w14:textId="77777777" w:rsidR="00EB70DC" w:rsidRPr="00B947E8" w:rsidRDefault="00EB70DC" w:rsidP="00EB70DC">
      <w:pPr>
        <w:autoSpaceDE w:val="0"/>
        <w:autoSpaceDN w:val="0"/>
        <w:adjustRightInd w:val="0"/>
        <w:spacing w:before="120"/>
        <w:rPr>
          <w:b/>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3" w:history="1">
        <w:r w:rsidRPr="00B947E8">
          <w:rPr>
            <w:rStyle w:val="Hyperlink"/>
          </w:rPr>
          <w:t>Workplace Health and Safety Act 2011</w:t>
        </w:r>
      </w:hyperlink>
      <w:r w:rsidRPr="00B947E8">
        <w:rPr>
          <w:rStyle w:val="Hyperlink"/>
          <w:color w:val="0066FF"/>
          <w:szCs w:val="20"/>
          <w:u w:val="none"/>
        </w:rPr>
        <w:t xml:space="preserve"> </w:t>
      </w:r>
      <w:r w:rsidRPr="00B947E8">
        <w:rPr>
          <w:rStyle w:val="Hyperlink"/>
          <w:color w:val="000000"/>
          <w:szCs w:val="20"/>
          <w:u w:val="none"/>
        </w:rPr>
        <w:t xml:space="preserve">- </w:t>
      </w:r>
      <w:r w:rsidRPr="00B947E8">
        <w:rPr>
          <w:b/>
          <w:szCs w:val="20"/>
        </w:rPr>
        <w:t>Part 2, Health and Safety Duties.</w:t>
      </w:r>
    </w:p>
    <w:p w14:paraId="476CBEBC" w14:textId="77777777" w:rsidR="00B23013" w:rsidRPr="00CC6337" w:rsidRDefault="00B23013" w:rsidP="00CC6337">
      <w:pPr>
        <w:pStyle w:val="Heading1"/>
        <w:spacing w:before="240" w:after="120"/>
        <w:rPr>
          <w:sz w:val="24"/>
          <w:szCs w:val="24"/>
        </w:rPr>
      </w:pPr>
      <w:r w:rsidRPr="00ED6DB0">
        <w:rPr>
          <w:sz w:val="24"/>
          <w:szCs w:val="24"/>
        </w:rPr>
        <w:t>Mandatory</w:t>
      </w:r>
      <w:r w:rsidRPr="00D04923">
        <w:rPr>
          <w:sz w:val="24"/>
          <w:szCs w:val="24"/>
        </w:rPr>
        <w:t xml:space="preserve"> qualifications/ professional registration/ other requirements</w:t>
      </w:r>
    </w:p>
    <w:bookmarkEnd w:id="7"/>
    <w:bookmarkEnd w:id="8"/>
    <w:p w14:paraId="3D4E5ED7" w14:textId="77777777" w:rsidR="00EB70DC" w:rsidRPr="00230AB6" w:rsidRDefault="00EB70DC" w:rsidP="00EB70DC">
      <w:pPr>
        <w:pStyle w:val="BodyText"/>
        <w:numPr>
          <w:ilvl w:val="0"/>
          <w:numId w:val="14"/>
        </w:numPr>
        <w:rPr>
          <w:rFonts w:cs="Arial"/>
          <w:bCs/>
          <w:szCs w:val="20"/>
        </w:rPr>
      </w:pPr>
      <w:r w:rsidRPr="00F33A39">
        <w:rPr>
          <w:rFonts w:cs="Arial"/>
          <w:b/>
          <w:noProof/>
          <w:szCs w:val="20"/>
        </w:rPr>
        <w:t>Qualification:</w:t>
      </w:r>
      <w:r w:rsidRPr="00F33A39">
        <w:rPr>
          <w:rFonts w:cs="Arial"/>
          <w:noProof/>
          <w:szCs w:val="20"/>
        </w:rPr>
        <w:t xml:space="preserve"> </w:t>
      </w:r>
      <w:r>
        <w:t>Bachelor</w:t>
      </w:r>
      <w:r w:rsidRPr="00F33A39">
        <w:t xml:space="preserve"> of Nursing</w:t>
      </w:r>
      <w:r>
        <w:t xml:space="preserve"> or </w:t>
      </w:r>
      <w:r w:rsidRPr="00F33A39">
        <w:t xml:space="preserve">equivalent </w:t>
      </w:r>
      <w:r>
        <w:t xml:space="preserve">certification relevant to the position </w:t>
      </w:r>
      <w:r w:rsidRPr="00F33A39">
        <w:t>is mandatory</w:t>
      </w:r>
      <w:r>
        <w:t>.</w:t>
      </w:r>
      <w:r w:rsidRPr="006A3087">
        <w:rPr>
          <w:rFonts w:cs="Arial"/>
          <w:b/>
          <w:bCs/>
          <w:szCs w:val="20"/>
        </w:rPr>
        <w:t xml:space="preserve"> </w:t>
      </w:r>
    </w:p>
    <w:p w14:paraId="69258EF9" w14:textId="09DC5523" w:rsidR="008D1BC8" w:rsidRPr="00773815" w:rsidRDefault="008D1BC8" w:rsidP="008D1BC8">
      <w:pPr>
        <w:numPr>
          <w:ilvl w:val="0"/>
          <w:numId w:val="14"/>
        </w:numPr>
        <w:spacing w:before="120"/>
        <w:ind w:left="357" w:hanging="357"/>
      </w:pPr>
      <w:bookmarkStart w:id="9" w:name="_Hlk514226557"/>
      <w:r w:rsidRPr="00773815">
        <w:rPr>
          <w:rFonts w:cs="Arial"/>
          <w:b/>
          <w:noProof/>
          <w:color w:val="000000"/>
          <w:szCs w:val="20"/>
        </w:rPr>
        <w:t>Qualification:</w:t>
      </w:r>
      <w:r w:rsidRPr="00773815">
        <w:rPr>
          <w:rFonts w:cs="Arial"/>
          <w:noProof/>
          <w:color w:val="000000"/>
          <w:szCs w:val="20"/>
        </w:rPr>
        <w:t xml:space="preserve"> </w:t>
      </w:r>
      <w:r w:rsidRPr="00773815">
        <w:t>Bachelor of Midwifery or equivalent is a mandatory qualification for this position</w:t>
      </w:r>
      <w:bookmarkEnd w:id="9"/>
      <w:r w:rsidRPr="00773815">
        <w:t>.</w:t>
      </w:r>
    </w:p>
    <w:p w14:paraId="6745BA05" w14:textId="3FCA1E30" w:rsidR="00EB70DC" w:rsidRDefault="00EB70DC" w:rsidP="00EB70DC">
      <w:pPr>
        <w:pStyle w:val="BodyText"/>
        <w:numPr>
          <w:ilvl w:val="0"/>
          <w:numId w:val="14"/>
        </w:numPr>
        <w:rPr>
          <w:rFonts w:cs="Arial"/>
          <w:bCs/>
          <w:szCs w:val="20"/>
        </w:rPr>
      </w:pPr>
      <w:r w:rsidRPr="00773815">
        <w:rPr>
          <w:rFonts w:cs="Arial"/>
          <w:b/>
          <w:bCs/>
          <w:szCs w:val="20"/>
        </w:rPr>
        <w:t>Nursing</w:t>
      </w:r>
      <w:r w:rsidR="008D1BC8" w:rsidRPr="00773815">
        <w:rPr>
          <w:rFonts w:cs="Arial"/>
          <w:b/>
          <w:bCs/>
          <w:szCs w:val="20"/>
        </w:rPr>
        <w:t>/Midwifery</w:t>
      </w:r>
      <w:r w:rsidRPr="00773815">
        <w:rPr>
          <w:rFonts w:cs="Arial"/>
          <w:b/>
          <w:bCs/>
          <w:szCs w:val="20"/>
        </w:rPr>
        <w:t>:</w:t>
      </w:r>
      <w:r w:rsidRPr="006A3087">
        <w:rPr>
          <w:rFonts w:cs="Arial"/>
          <w:bCs/>
          <w:szCs w:val="20"/>
        </w:rPr>
        <w:t xml:space="preserve"> Appointment to this position requires proof of qualification and registration with the Australian Health Practitioner Regulation Agency (AHPRA) </w:t>
      </w:r>
      <w:r w:rsidRPr="00F459C2">
        <w:rPr>
          <w:lang w:eastAsia="en-AU"/>
        </w:rPr>
        <w:t>and</w:t>
      </w:r>
      <w:r w:rsidRPr="006A3087">
        <w:rPr>
          <w:rFonts w:cs="Arial"/>
          <w:bCs/>
          <w:szCs w:val="20"/>
        </w:rPr>
        <w:t xml:space="preserve"> possession of a current practising certificate. Certified copies of the required information must be provided to the appropriate supervisor/manager prior to commencement of clinical duties.</w:t>
      </w:r>
    </w:p>
    <w:p w14:paraId="50830A51" w14:textId="77777777" w:rsidR="00A127CC" w:rsidRDefault="00A127CC" w:rsidP="00A127CC">
      <w:pPr>
        <w:pStyle w:val="ListParagraph0"/>
        <w:numPr>
          <w:ilvl w:val="0"/>
          <w:numId w:val="14"/>
        </w:numPr>
        <w:rPr>
          <w:noProof/>
          <w:szCs w:val="20"/>
        </w:rPr>
      </w:pPr>
      <w:r w:rsidRPr="00F728E6">
        <w:rPr>
          <w:rFonts w:cs="Arial"/>
          <w:b/>
          <w:noProof/>
          <w:szCs w:val="20"/>
        </w:rPr>
        <w:t>Shift Workers</w:t>
      </w:r>
      <w:r w:rsidRPr="00F728E6">
        <w:rPr>
          <w:rFonts w:cs="Arial"/>
          <w:b/>
          <w:i/>
          <w:noProof/>
          <w:szCs w:val="20"/>
        </w:rPr>
        <w:t>:</w:t>
      </w:r>
      <w:r w:rsidRPr="00F728E6">
        <w:rPr>
          <w:rFonts w:cs="Arial"/>
          <w:noProof/>
          <w:szCs w:val="20"/>
        </w:rPr>
        <w:t xml:space="preserve"> Appointees </w:t>
      </w:r>
      <w:r w:rsidRPr="00F728E6">
        <w:rPr>
          <w:noProof/>
          <w:szCs w:val="20"/>
        </w:rPr>
        <w:t>will be required to work all shifts in accordance with the unit roster</w:t>
      </w:r>
      <w:r>
        <w:rPr>
          <w:noProof/>
          <w:szCs w:val="20"/>
        </w:rPr>
        <w:t>.</w:t>
      </w:r>
    </w:p>
    <w:p w14:paraId="13CFC772" w14:textId="460D25E4" w:rsidR="00A127CC" w:rsidRPr="00EB70DC" w:rsidRDefault="00A127CC" w:rsidP="00A127CC">
      <w:pPr>
        <w:pStyle w:val="BodyText"/>
        <w:numPr>
          <w:ilvl w:val="0"/>
          <w:numId w:val="14"/>
        </w:numPr>
        <w:rPr>
          <w:bCs/>
          <w:szCs w:val="20"/>
        </w:rPr>
      </w:pPr>
      <w:r w:rsidRPr="00EB70DC">
        <w:rPr>
          <w:b/>
          <w:bCs/>
        </w:rPr>
        <w:t>National Disability Insurance Scheme (NDIS) Worker Screening Check</w:t>
      </w:r>
      <w:r w:rsidR="0010389A">
        <w:rPr>
          <w:b/>
          <w:bCs/>
        </w:rPr>
        <w:t xml:space="preserve"> </w:t>
      </w:r>
      <w:r w:rsidR="0010389A">
        <w:rPr>
          <w:b/>
          <w:bCs/>
        </w:rPr>
        <w:t>for staff required to work at Parklands RACF or Eventide RACF)</w:t>
      </w:r>
      <w:r w:rsidRPr="00EB70DC">
        <w:rPr>
          <w:b/>
          <w:bCs/>
        </w:rPr>
        <w:t xml:space="preserve">: </w:t>
      </w:r>
      <w:r w:rsidRPr="00EB70DC">
        <w:t xml:space="preserve"> As a Health Care worker in Queensland Health who engages in risk-assessed roles, you must hold a </w:t>
      </w:r>
      <w:r w:rsidRPr="00EB70DC">
        <w:rPr>
          <w:color w:val="222222"/>
          <w:lang w:val="en"/>
        </w:rPr>
        <w:t>current disability check (Yellow Card or Yellow Card Exemption) or a NDIS worker screening check, in accordance with Part 5 of the Disability Services Act 2006 (Qld).</w:t>
      </w:r>
    </w:p>
    <w:p w14:paraId="3A49EB52" w14:textId="77777777" w:rsidR="00EB70DC" w:rsidRPr="00413533" w:rsidRDefault="00EB70DC" w:rsidP="00EB70DC">
      <w:pPr>
        <w:pStyle w:val="BodyText"/>
        <w:numPr>
          <w:ilvl w:val="0"/>
          <w:numId w:val="14"/>
        </w:numPr>
        <w:rPr>
          <w:rFonts w:cs="Arial"/>
          <w:noProof/>
          <w:szCs w:val="20"/>
        </w:rPr>
      </w:pPr>
      <w:r w:rsidRPr="00DA2CB0">
        <w:rPr>
          <w:rFonts w:cs="Arial"/>
          <w:b/>
          <w:noProof/>
          <w:szCs w:val="20"/>
        </w:rPr>
        <w:t>Vaccine Preventable Disease (VPD)</w:t>
      </w:r>
      <w:r w:rsidRPr="00DA2CB0">
        <w:rPr>
          <w:rFonts w:cs="Arial"/>
          <w:noProof/>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szCs w:val="20"/>
        </w:rPr>
        <w:t xml:space="preserve">  (due to prior exposure to the disease and therefore have natural immunity) </w:t>
      </w:r>
      <w:r>
        <w:t> to the following VPD's Hepatitis B, Measles, Mumps, Rubella, Varicella and Pertussis (diphtheria, tetanus and pertussis containing vaccine) according to the Queensland Health Policy. </w:t>
      </w:r>
    </w:p>
    <w:p w14:paraId="601B1F26" w14:textId="77777777" w:rsidR="006808B8" w:rsidRDefault="006808B8">
      <w:pPr>
        <w:rPr>
          <w:b/>
          <w:bCs/>
          <w:color w:val="003491"/>
          <w:sz w:val="24"/>
          <w:szCs w:val="24"/>
        </w:rPr>
      </w:pPr>
      <w:r>
        <w:rPr>
          <w:b/>
          <w:bCs/>
          <w:color w:val="003491"/>
          <w:sz w:val="24"/>
          <w:szCs w:val="24"/>
        </w:rPr>
        <w:br w:type="page"/>
      </w:r>
    </w:p>
    <w:p w14:paraId="0280A95A" w14:textId="4C652A78" w:rsidR="009E2F07" w:rsidRPr="00ED6DB0" w:rsidRDefault="009E2F07" w:rsidP="00A127CC">
      <w:pPr>
        <w:spacing w:before="240"/>
        <w:rPr>
          <w:rFonts w:eastAsia="Times New Roman"/>
          <w:b/>
          <w:bCs/>
          <w:color w:val="003491"/>
          <w:sz w:val="24"/>
          <w:szCs w:val="24"/>
        </w:rPr>
      </w:pPr>
      <w:r w:rsidRPr="00ED6DB0">
        <w:rPr>
          <w:b/>
          <w:bCs/>
          <w:color w:val="003491"/>
          <w:sz w:val="24"/>
          <w:szCs w:val="24"/>
        </w:rPr>
        <w:lastRenderedPageBreak/>
        <w:t>How you will be assessed</w:t>
      </w:r>
    </w:p>
    <w:p w14:paraId="060E92C9" w14:textId="77777777" w:rsidR="00EB70DC" w:rsidRDefault="00EB70DC" w:rsidP="00EB70DC">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7821DDD7" w14:textId="77777777" w:rsidR="00EB70DC" w:rsidRPr="00733919" w:rsidRDefault="00EB70DC" w:rsidP="00EB70DC">
      <w:pPr>
        <w:pStyle w:val="BodyText"/>
        <w:numPr>
          <w:ilvl w:val="0"/>
          <w:numId w:val="12"/>
        </w:numPr>
        <w:rPr>
          <w:lang w:eastAsia="en-AU"/>
        </w:rPr>
      </w:pPr>
      <w:r w:rsidRPr="00733919">
        <w:rPr>
          <w:lang w:eastAsia="en-AU"/>
        </w:rPr>
        <w:t>Ability to comprehensively assess, plan, implement and evaluate nursing care.</w:t>
      </w:r>
    </w:p>
    <w:p w14:paraId="4648837B" w14:textId="77777777" w:rsidR="00EB70DC" w:rsidRPr="00733919" w:rsidRDefault="00EB70DC" w:rsidP="00EB70DC">
      <w:pPr>
        <w:pStyle w:val="BodyText"/>
        <w:numPr>
          <w:ilvl w:val="0"/>
          <w:numId w:val="12"/>
        </w:numPr>
        <w:rPr>
          <w:lang w:eastAsia="en-AU"/>
        </w:rPr>
      </w:pPr>
      <w:r w:rsidRPr="00733919">
        <w:rPr>
          <w:lang w:eastAsia="en-AU"/>
        </w:rPr>
        <w:t>Knowledge of legal and professional responsibilities.</w:t>
      </w:r>
    </w:p>
    <w:p w14:paraId="66E8E19E" w14:textId="77777777" w:rsidR="00EB70DC" w:rsidRPr="00733919" w:rsidRDefault="00EB70DC" w:rsidP="00EB70DC">
      <w:pPr>
        <w:pStyle w:val="BodyText"/>
        <w:numPr>
          <w:ilvl w:val="0"/>
          <w:numId w:val="12"/>
        </w:numPr>
        <w:rPr>
          <w:lang w:eastAsia="en-AU"/>
        </w:rPr>
      </w:pPr>
      <w:r w:rsidRPr="00733919">
        <w:rPr>
          <w:lang w:eastAsia="en-AU"/>
        </w:rPr>
        <w:t xml:space="preserve">Ability to build and maintain effective relationships with the multidisciplinary team, </w:t>
      </w:r>
      <w:proofErr w:type="gramStart"/>
      <w:r w:rsidRPr="00733919">
        <w:rPr>
          <w:lang w:eastAsia="en-AU"/>
        </w:rPr>
        <w:t>patients</w:t>
      </w:r>
      <w:proofErr w:type="gramEnd"/>
      <w:r w:rsidRPr="00733919">
        <w:rPr>
          <w:lang w:eastAsia="en-AU"/>
        </w:rPr>
        <w:t xml:space="preserve"> and other stakeholders, including participation in relevant networks.</w:t>
      </w:r>
    </w:p>
    <w:p w14:paraId="0F2465BC" w14:textId="77777777" w:rsidR="00EB70DC" w:rsidRPr="00733919" w:rsidRDefault="00EB70DC" w:rsidP="00EB70DC">
      <w:pPr>
        <w:pStyle w:val="BodyText"/>
        <w:numPr>
          <w:ilvl w:val="0"/>
          <w:numId w:val="12"/>
        </w:numPr>
        <w:rPr>
          <w:lang w:eastAsia="en-AU"/>
        </w:rPr>
      </w:pPr>
      <w:r w:rsidRPr="00733919">
        <w:rPr>
          <w:lang w:eastAsia="en-AU"/>
        </w:rPr>
        <w:t xml:space="preserve">High standard of written and oral communication skills within the multidisciplinary team, </w:t>
      </w:r>
      <w:proofErr w:type="gramStart"/>
      <w:r w:rsidRPr="00733919">
        <w:rPr>
          <w:lang w:eastAsia="en-AU"/>
        </w:rPr>
        <w:t>patients</w:t>
      </w:r>
      <w:proofErr w:type="gramEnd"/>
      <w:r w:rsidRPr="00733919">
        <w:rPr>
          <w:lang w:eastAsia="en-AU"/>
        </w:rPr>
        <w:t xml:space="preserve"> and their families.</w:t>
      </w:r>
    </w:p>
    <w:p w14:paraId="025F9007" w14:textId="77777777" w:rsidR="00EB70DC" w:rsidRPr="00733919" w:rsidRDefault="00EB70DC" w:rsidP="00EB70DC">
      <w:pPr>
        <w:pStyle w:val="BodyText"/>
        <w:numPr>
          <w:ilvl w:val="0"/>
          <w:numId w:val="12"/>
        </w:numPr>
        <w:rPr>
          <w:lang w:eastAsia="en-AU"/>
        </w:rPr>
      </w:pPr>
      <w:r w:rsidRPr="00733919">
        <w:rPr>
          <w:lang w:eastAsia="en-AU"/>
        </w:rPr>
        <w:t>Ability to use or learn to use information systems appropriate to the position.</w:t>
      </w:r>
    </w:p>
    <w:p w14:paraId="27250EE6" w14:textId="77777777" w:rsidR="00EB70DC" w:rsidRPr="00733919" w:rsidRDefault="00EB70DC" w:rsidP="00EB70DC">
      <w:pPr>
        <w:pStyle w:val="BodyText"/>
        <w:numPr>
          <w:ilvl w:val="0"/>
          <w:numId w:val="12"/>
        </w:numPr>
        <w:rPr>
          <w:lang w:eastAsia="en-AU"/>
        </w:rPr>
      </w:pPr>
      <w:r w:rsidRPr="00733919">
        <w:rPr>
          <w:lang w:eastAsia="en-AU"/>
        </w:rPr>
        <w:t>Ability to provide clinical education and support and demonstrate own ongoing professional development.</w:t>
      </w:r>
    </w:p>
    <w:p w14:paraId="53B9436E" w14:textId="77777777" w:rsidR="00EB70DC" w:rsidRDefault="00EB70DC" w:rsidP="00EB70DC">
      <w:pPr>
        <w:pStyle w:val="BodyText"/>
        <w:numPr>
          <w:ilvl w:val="0"/>
          <w:numId w:val="12"/>
        </w:numPr>
        <w:rPr>
          <w:bCs/>
        </w:rPr>
      </w:pPr>
      <w:r w:rsidRPr="00733919">
        <w:rPr>
          <w:lang w:eastAsia="en-AU"/>
        </w:rPr>
        <w:t>Ability</w:t>
      </w:r>
      <w:r w:rsidRPr="00F459C2">
        <w:rPr>
          <w:lang w:eastAsia="en-AU"/>
        </w:rPr>
        <w:t xml:space="preserve"> to demonstrate</w:t>
      </w:r>
      <w:r w:rsidRPr="00E83723">
        <w:rPr>
          <w:bCs/>
        </w:rPr>
        <w:t xml:space="preserve"> competency as outlined in the NMBA Registered Nurse Standards for Practice</w:t>
      </w:r>
      <w:r>
        <w:rPr>
          <w:bCs/>
        </w:rPr>
        <w:t>.</w:t>
      </w:r>
    </w:p>
    <w:p w14:paraId="159F933C" w14:textId="412F0389" w:rsidR="00B23013" w:rsidRPr="00CC6337" w:rsidRDefault="00B23013" w:rsidP="00CC6337">
      <w:pPr>
        <w:pStyle w:val="Heading1"/>
        <w:spacing w:before="240" w:after="120"/>
        <w:rPr>
          <w:sz w:val="24"/>
          <w:szCs w:val="24"/>
        </w:rPr>
      </w:pPr>
      <w:r w:rsidRPr="00D04923">
        <w:rPr>
          <w:sz w:val="24"/>
          <w:szCs w:val="24"/>
        </w:rPr>
        <w:t xml:space="preserve">Your </w:t>
      </w:r>
      <w:proofErr w:type="gramStart"/>
      <w:r w:rsidRPr="00D04923">
        <w:rPr>
          <w:sz w:val="24"/>
          <w:szCs w:val="24"/>
        </w:rPr>
        <w:t>Application</w:t>
      </w:r>
      <w:proofErr w:type="gramEnd"/>
    </w:p>
    <w:p w14:paraId="08FA5327" w14:textId="77777777" w:rsidR="00EB70DC" w:rsidRPr="00B23013" w:rsidRDefault="00EB70DC" w:rsidP="00EB70DC">
      <w:pPr>
        <w:spacing w:before="6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0654B68B" w14:textId="77777777" w:rsidR="00EB70DC" w:rsidRPr="00B23013" w:rsidRDefault="00EB70DC" w:rsidP="00EB70DC">
      <w:pPr>
        <w:pStyle w:val="BodyText"/>
        <w:numPr>
          <w:ilvl w:val="0"/>
          <w:numId w:val="12"/>
        </w:numPr>
      </w:pPr>
      <w:r w:rsidRPr="00B23013">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7AEBAEE3" w14:textId="77777777" w:rsidR="00EB70DC" w:rsidRPr="00B23013" w:rsidRDefault="00EB70DC" w:rsidP="00EB70DC">
      <w:pPr>
        <w:pStyle w:val="BodyText"/>
        <w:numPr>
          <w:ilvl w:val="0"/>
          <w:numId w:val="12"/>
        </w:numPr>
      </w:pPr>
      <w:r w:rsidRPr="00B23013">
        <w:t xml:space="preserve">A short response (maximum of </w:t>
      </w:r>
      <w:r>
        <w:t>two</w:t>
      </w:r>
      <w:r w:rsidRPr="00B23013">
        <w:t xml:space="preserve"> pages) on how your experience, abilities, </w:t>
      </w:r>
      <w:proofErr w:type="gramStart"/>
      <w:r w:rsidRPr="00B23013">
        <w:t>knowledge</w:t>
      </w:r>
      <w:proofErr w:type="gramEnd"/>
      <w:r w:rsidRPr="00B23013">
        <w:t xml:space="preserve"> and personal qualities are relevant for the </w:t>
      </w:r>
      <w:r w:rsidRPr="00B23013">
        <w:rPr>
          <w:lang w:eastAsia="en-AU"/>
        </w:rPr>
        <w:t>role</w:t>
      </w:r>
      <w:r w:rsidRPr="00B23013">
        <w:t>, taking into account the key responsibilities and key attributes of the position.</w:t>
      </w:r>
    </w:p>
    <w:p w14:paraId="3EA123BD" w14:textId="77777777" w:rsidR="00EB70DC" w:rsidRPr="00B23013" w:rsidRDefault="00EB70DC" w:rsidP="00EB70DC">
      <w:pPr>
        <w:pStyle w:val="BodyText"/>
        <w:numPr>
          <w:ilvl w:val="0"/>
          <w:numId w:val="12"/>
        </w:numPr>
      </w:pPr>
      <w:r w:rsidRPr="00B23013">
        <w:t xml:space="preserve">Applications will </w:t>
      </w:r>
      <w:r w:rsidRPr="00B23013">
        <w:rPr>
          <w:lang w:eastAsia="en-AU"/>
        </w:rPr>
        <w:t>remain</w:t>
      </w:r>
      <w:r w:rsidRPr="00B23013">
        <w:t xml:space="preserve"> current for 12 months after they have been submitted.</w:t>
      </w:r>
    </w:p>
    <w:p w14:paraId="46E4EB71" w14:textId="77777777" w:rsidR="00EB70DC" w:rsidRPr="00B23013" w:rsidRDefault="00EB70DC" w:rsidP="00EB70DC">
      <w:pPr>
        <w:pStyle w:val="BodyText"/>
        <w:numPr>
          <w:ilvl w:val="0"/>
          <w:numId w:val="12"/>
        </w:numPr>
      </w:pPr>
      <w:r w:rsidRPr="00B23013">
        <w:t xml:space="preserve">Future vacancies of a similar nature throughout the </w:t>
      </w:r>
      <w:smartTag w:uri="urn:schemas-microsoft-com:office:smarttags" w:element="place">
        <w:smartTag w:uri="urn:schemas-microsoft-com:office:smarttags" w:element="PlaceName">
          <w:r w:rsidRPr="00B23013">
            <w:t>Townsville</w:t>
          </w:r>
        </w:smartTag>
        <w:r w:rsidRPr="00B23013">
          <w:t xml:space="preserve"> </w:t>
        </w:r>
        <w:smartTag w:uri="urn:schemas-microsoft-com:office:smarttags" w:element="PlaceType">
          <w:r w:rsidRPr="00B23013">
            <w:t>Hospital</w:t>
          </w:r>
        </w:smartTag>
      </w:smartTag>
      <w:r w:rsidRPr="00B23013">
        <w:t xml:space="preserve"> and Health Service may also be filled through this recruitment process.</w:t>
      </w:r>
    </w:p>
    <w:p w14:paraId="57292976" w14:textId="77777777" w:rsidR="00EB70DC" w:rsidRDefault="00EB70DC" w:rsidP="00A127CC">
      <w:pPr>
        <w:pStyle w:val="BodyText"/>
        <w:spacing w:before="240"/>
      </w:pPr>
      <w:r>
        <w:t xml:space="preserve">Once completed, your application should be submitted online – visit </w:t>
      </w:r>
      <w:hyperlink r:id="rId14" w:history="1">
        <w:r w:rsidRPr="00B478DB">
          <w:rPr>
            <w:rStyle w:val="Hyperlink"/>
          </w:rPr>
          <w:t>www.smartjobs.qld.gov.au</w:t>
        </w:r>
      </w:hyperlink>
      <w:r>
        <w:t>. If you have difficulties, please contact Recruitment Services on 1300 193 156.</w:t>
      </w:r>
    </w:p>
    <w:p w14:paraId="728C4527" w14:textId="77777777" w:rsidR="00935303" w:rsidRPr="00CC6337" w:rsidRDefault="00935303" w:rsidP="00CC6337">
      <w:pPr>
        <w:pStyle w:val="Heading1"/>
        <w:spacing w:before="240" w:after="120"/>
        <w:rPr>
          <w:sz w:val="24"/>
          <w:szCs w:val="24"/>
        </w:rPr>
      </w:pPr>
      <w:r w:rsidRPr="00D04923">
        <w:rPr>
          <w:sz w:val="24"/>
          <w:szCs w:val="24"/>
        </w:rPr>
        <w:t xml:space="preserve">About the Townsville Hospital and Health Service </w:t>
      </w:r>
    </w:p>
    <w:p w14:paraId="1C69A737" w14:textId="77777777" w:rsidR="00EB70DC" w:rsidRDefault="00EB70DC" w:rsidP="00EB70DC">
      <w:pPr>
        <w:spacing w:before="120" w:after="120"/>
      </w:pPr>
      <w:bookmarkStart w:id="10" w:name="_Hlk109978680"/>
      <w:bookmarkStart w:id="11" w:name="_Hlk109979021"/>
      <w:r w:rsidRPr="00935303">
        <w:t xml:space="preserve">The Townsville Hospital and Health Service (HHS) is </w:t>
      </w:r>
      <w:r>
        <w:t>the public healthcare provider for more than 250,000 people across a geographic area of 150,000km</w:t>
      </w:r>
      <w:r w:rsidRPr="00154509">
        <w:rPr>
          <w:vertAlign w:val="superscript"/>
        </w:rPr>
        <w:t>2</w:t>
      </w:r>
      <w:r>
        <w:t>.</w:t>
      </w:r>
    </w:p>
    <w:p w14:paraId="1C40AF1E" w14:textId="77777777" w:rsidR="00EB70DC" w:rsidRDefault="00EB70DC" w:rsidP="00EB70DC">
      <w:pPr>
        <w:spacing w:before="120" w:after="120"/>
      </w:pPr>
      <w:r>
        <w:t xml:space="preserve">We serve the local government areas of Townsville, Burdekin, Charters Towers, Flinders, Richmond, </w:t>
      </w:r>
      <w:proofErr w:type="gramStart"/>
      <w:r>
        <w:t>Hinchinbrook</w:t>
      </w:r>
      <w:proofErr w:type="gramEnd"/>
      <w:r>
        <w:t xml:space="preserve"> and Palm Island.</w:t>
      </w:r>
    </w:p>
    <w:p w14:paraId="788AC5F8" w14:textId="77777777" w:rsidR="00EB70DC" w:rsidRDefault="00EB70DC" w:rsidP="00EB70DC">
      <w:pPr>
        <w:spacing w:before="120" w:after="120"/>
      </w:pPr>
      <w:r>
        <w:t>In doing so, we operate 21 facilities: 19 hospitals and health centres and two residential aged care homes.  More than 6,600 staff work across our facilities, which is about one in every 17 working people, making us members of the communities we serve.</w:t>
      </w:r>
    </w:p>
    <w:p w14:paraId="7ED9C482" w14:textId="77777777" w:rsidR="00EB70DC" w:rsidRDefault="00EB70DC" w:rsidP="00EB70DC">
      <w:pPr>
        <w:spacing w:before="120" w:after="120"/>
      </w:pPr>
      <w:r>
        <w:t>We provide a comprehensive range of services, from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w:t>
      </w:r>
    </w:p>
    <w:p w14:paraId="0354B487" w14:textId="77777777" w:rsidR="00EB70DC" w:rsidRDefault="00EB70DC" w:rsidP="00EB70DC">
      <w:pPr>
        <w:spacing w:before="120" w:after="120"/>
      </w:pPr>
      <w:r>
        <w:t>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w:t>
      </w:r>
    </w:p>
    <w:p w14:paraId="639E57E9" w14:textId="77777777" w:rsidR="00EB70DC" w:rsidRPr="009A606B" w:rsidRDefault="00EB70DC" w:rsidP="00EB70DC">
      <w:pPr>
        <w:spacing w:before="120" w:after="120"/>
        <w:rPr>
          <w:b/>
          <w:bCs/>
          <w:szCs w:val="20"/>
        </w:rPr>
      </w:pPr>
      <w:r w:rsidRPr="009A606B">
        <w:rPr>
          <w:bCs/>
          <w:color w:val="000000" w:themeColor="text1"/>
          <w:szCs w:val="20"/>
        </w:rPr>
        <w:t xml:space="preserve">Our vision is </w:t>
      </w:r>
      <w:r w:rsidRPr="00D265E8">
        <w:t>world</w:t>
      </w:r>
      <w:r w:rsidRPr="009A606B">
        <w:rPr>
          <w:bCs/>
          <w:color w:val="000000" w:themeColor="text1"/>
          <w:szCs w:val="20"/>
        </w:rPr>
        <w:t xml:space="preserve">-class healthcare for northern Queensland. The </w:t>
      </w:r>
      <w:hyperlink r:id="rId15" w:history="1">
        <w:r w:rsidRPr="009A606B">
          <w:rPr>
            <w:rStyle w:val="Hyperlink"/>
            <w:bCs/>
            <w:szCs w:val="20"/>
          </w:rPr>
          <w:t>Townsville Hospital and Health Service Strategic plan 2022-2026</w:t>
        </w:r>
      </w:hyperlink>
      <w:r w:rsidRPr="009A606B">
        <w:rPr>
          <w:rStyle w:val="Hyperlink"/>
          <w:bCs/>
          <w:szCs w:val="20"/>
        </w:rPr>
        <w:t xml:space="preserve"> </w:t>
      </w:r>
      <w:r w:rsidRPr="009A606B">
        <w:rPr>
          <w:bCs/>
          <w:color w:val="000000" w:themeColor="text1"/>
          <w:szCs w:val="20"/>
        </w:rPr>
        <w:t>commits to this ambitious direction, outlines our strategic objectives and lists the measures we will use to know we have achieved them.</w:t>
      </w:r>
    </w:p>
    <w:p w14:paraId="4C9F80AE" w14:textId="127BD30C" w:rsidR="007F2571" w:rsidRDefault="007F2571">
      <w:r>
        <w:br w:type="page"/>
      </w:r>
    </w:p>
    <w:p w14:paraId="335C3BAB" w14:textId="77777777" w:rsidR="00EB70DC" w:rsidRDefault="00EB70DC" w:rsidP="00EB70DC">
      <w:pPr>
        <w:spacing w:before="120" w:after="120"/>
      </w:pPr>
    </w:p>
    <w:p w14:paraId="1E18676F" w14:textId="77777777" w:rsidR="00EB70DC" w:rsidRPr="005811D1" w:rsidRDefault="00EB70DC" w:rsidP="007F2571">
      <w:pPr>
        <w:spacing w:before="120" w:after="24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Pr>
          <w:rFonts w:eastAsia="Times New Roman"/>
          <w:b/>
          <w:color w:val="00A1DE" w:themeColor="background2"/>
          <w:sz w:val="24"/>
          <w:szCs w:val="24"/>
        </w:rPr>
        <w:t>World-class healthcare for northern Queensland</w:t>
      </w:r>
    </w:p>
    <w:p w14:paraId="2944C718" w14:textId="77777777" w:rsidR="00EB70DC" w:rsidRDefault="00EB70DC" w:rsidP="007F2571">
      <w:pPr>
        <w:pStyle w:val="BodyText"/>
        <w:spacing w:after="240"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Pr>
          <w:rFonts w:eastAsia="Times New Roman"/>
          <w:b/>
          <w:color w:val="00A1DE" w:themeColor="background2"/>
          <w:sz w:val="24"/>
          <w:szCs w:val="24"/>
        </w:rPr>
        <w:t>Great care every day</w:t>
      </w:r>
    </w:p>
    <w:p w14:paraId="4E96BF48" w14:textId="77777777" w:rsidR="00EB70DC" w:rsidRDefault="00EB70DC" w:rsidP="00EB70DC">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63872" behindDoc="0" locked="0" layoutInCell="1" allowOverlap="1" wp14:anchorId="697CF301" wp14:editId="7983591B">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bookmarkEnd w:id="10"/>
      <w:r>
        <w:rPr>
          <w:rFonts w:eastAsia="Times New Roman"/>
          <w:b/>
          <w:color w:val="003491"/>
          <w:sz w:val="24"/>
          <w:szCs w:val="24"/>
        </w:rPr>
        <w:tab/>
      </w:r>
    </w:p>
    <w:bookmarkEnd w:id="11"/>
    <w:p w14:paraId="083505A6" w14:textId="77777777" w:rsidR="00EB70DC" w:rsidRDefault="00EB70DC" w:rsidP="00EB70DC">
      <w:pPr>
        <w:spacing w:after="120" w:line="276" w:lineRule="auto"/>
        <w:rPr>
          <w:lang w:eastAsia="en-AU"/>
        </w:rPr>
      </w:pPr>
      <w:r>
        <w:rPr>
          <w:rFonts w:cs="Arial"/>
          <w:b/>
          <w:bCs/>
          <w:szCs w:val="20"/>
        </w:rPr>
        <w:t>Person Centred Care</w:t>
      </w:r>
      <w:r>
        <w:rPr>
          <w:rFonts w:cs="Arial"/>
          <w:szCs w:val="20"/>
        </w:rPr>
        <w:t xml:space="preserve"> is an essential part of Townsville HHS. Our patients are central to everything we </w:t>
      </w:r>
      <w:proofErr w:type="gramStart"/>
      <w:r>
        <w:rPr>
          <w:rFonts w:cs="Arial"/>
          <w:szCs w:val="20"/>
        </w:rPr>
        <w:t>do</w:t>
      </w:r>
      <w:proofErr w:type="gramEnd"/>
      <w:r>
        <w:rPr>
          <w:rFonts w:cs="Arial"/>
          <w:szCs w:val="20"/>
        </w:rPr>
        <w:t xml:space="preserve"> and we recognise the importance of their families and carers. We appreciate the importance of all our staff and support them to deliver person centred care.</w:t>
      </w:r>
    </w:p>
    <w:p w14:paraId="752678A2" w14:textId="77777777" w:rsidR="00EB70DC" w:rsidRDefault="00EB70DC" w:rsidP="00EB70DC">
      <w:pPr>
        <w:spacing w:after="120" w:line="276" w:lineRule="auto"/>
      </w:pPr>
      <w:r>
        <w:rPr>
          <w:rFonts w:cs="Arial"/>
          <w:b/>
          <w:bCs/>
          <w:szCs w:val="20"/>
        </w:rPr>
        <w:t>Cultural capability</w:t>
      </w:r>
      <w:r>
        <w:rPr>
          <w:rFonts w:cs="Arial"/>
          <w:szCs w:val="20"/>
        </w:rPr>
        <w:t xml:space="preserve"> principles are supported by the Townsville HHS to be embedded into all nursing and midwifery practice. Cultural practice training is a key requirement to ensure we provide culturally capable workforce to enhance the patient journey.</w:t>
      </w:r>
    </w:p>
    <w:p w14:paraId="5FEEDC0E" w14:textId="77777777" w:rsidR="00EB70DC" w:rsidRPr="002C5078" w:rsidRDefault="00EB70DC" w:rsidP="00EB70DC">
      <w:pPr>
        <w:spacing w:before="120" w:after="120"/>
        <w:rPr>
          <w:rFonts w:eastAsia="Times New Roman"/>
          <w:color w:val="000000"/>
          <w:szCs w:val="20"/>
          <w:lang w:eastAsia="en-AU"/>
        </w:rPr>
      </w:pPr>
      <w:r w:rsidRPr="00A7453C">
        <w:rPr>
          <w:rFonts w:eastAsia="Times New Roman"/>
          <w:color w:val="000000"/>
          <w:szCs w:val="20"/>
          <w:lang w:eastAsia="en-AU"/>
        </w:rPr>
        <w:t>Please visit our website for additional information about</w:t>
      </w:r>
      <w:r>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7" w:history="1">
        <w:r w:rsidRPr="00CC4416">
          <w:rPr>
            <w:rStyle w:val="Hyperlink"/>
            <w:b/>
            <w:bCs/>
          </w:rPr>
          <w:t>Townsville Hospital and Health Service</w:t>
        </w:r>
      </w:hyperlink>
    </w:p>
    <w:p w14:paraId="6F5939E6" w14:textId="77777777" w:rsidR="007D703F" w:rsidRDefault="007D703F" w:rsidP="007D703F">
      <w:pPr>
        <w:pStyle w:val="Heading1"/>
        <w:spacing w:before="240" w:after="120"/>
        <w:rPr>
          <w:sz w:val="24"/>
          <w:szCs w:val="24"/>
        </w:rPr>
      </w:pPr>
      <w:bookmarkStart w:id="12" w:name="_Hlk151707024"/>
      <w:r w:rsidRPr="00D04923">
        <w:rPr>
          <w:sz w:val="24"/>
          <w:szCs w:val="24"/>
        </w:rPr>
        <w:t xml:space="preserve">Health </w:t>
      </w:r>
      <w:r>
        <w:rPr>
          <w:sz w:val="24"/>
          <w:szCs w:val="24"/>
        </w:rPr>
        <w:t xml:space="preserve">Equity and Racism </w:t>
      </w:r>
    </w:p>
    <w:p w14:paraId="4D0F203E" w14:textId="77777777" w:rsidR="007D703F" w:rsidRDefault="007D703F" w:rsidP="007D703F">
      <w:r>
        <w:t xml:space="preserve">Townsville Hospital and Health Service has set out its actions and agreed key performance measures to improve Aboriginal and Torres Strait Islander people’s health and wellbeing outcomes.  The Health Equity Strategy and Implementation Plan can be found at </w:t>
      </w:r>
      <w:hyperlink r:id="rId18" w:history="1">
        <w:r>
          <w:rPr>
            <w:rStyle w:val="Hyperlink"/>
          </w:rPr>
          <w:t>First Nations Health Equity Strategy 2022-2025 and Implementation Plan</w:t>
        </w:r>
      </w:hyperlink>
    </w:p>
    <w:p w14:paraId="5854D5BF" w14:textId="77777777" w:rsidR="007D703F" w:rsidRDefault="007D703F" w:rsidP="007D703F">
      <w:pPr>
        <w:spacing w:before="120" w:line="276" w:lineRule="auto"/>
      </w:pPr>
      <w: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4998D774" w14:textId="77777777" w:rsidR="007D703F" w:rsidRDefault="007D703F" w:rsidP="007D703F">
      <w:pPr>
        <w:spacing w:before="120" w:line="276" w:lineRule="auto"/>
      </w:pPr>
      <w:r>
        <w:t>It is expected that all Townsville Hospital and Health Service staff, including the incumbent of this role as a valuable member of the Townsville Hospital and Health Service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responsive health services;  and recognise the importance of working with Aboriginal and Torres Strait Islander peoples, communities and organisations to design, deliver, monitor and review the health and support services we provide.</w:t>
      </w:r>
    </w:p>
    <w:bookmarkEnd w:id="12"/>
    <w:p w14:paraId="16C7A5CF" w14:textId="21A6E584" w:rsidR="00A7453C" w:rsidRPr="00CC6337" w:rsidRDefault="00A7453C" w:rsidP="00CC6337">
      <w:pPr>
        <w:pStyle w:val="Heading1"/>
        <w:spacing w:before="240" w:after="120"/>
        <w:rPr>
          <w:sz w:val="24"/>
          <w:szCs w:val="24"/>
        </w:rPr>
      </w:pPr>
      <w:r w:rsidRPr="00D04923">
        <w:rPr>
          <w:sz w:val="24"/>
          <w:szCs w:val="24"/>
        </w:rPr>
        <w:t>Additional Information</w:t>
      </w:r>
    </w:p>
    <w:p w14:paraId="282C36C4" w14:textId="77777777" w:rsidR="00EB70DC" w:rsidRDefault="00EB70DC" w:rsidP="00EB70DC">
      <w:pPr>
        <w:pStyle w:val="BodyText"/>
        <w:numPr>
          <w:ilvl w:val="0"/>
          <w:numId w:val="12"/>
        </w:numPr>
        <w:rPr>
          <w:rFonts w:cs="Arial"/>
          <w:bCs/>
          <w:szCs w:val="20"/>
        </w:rPr>
      </w:pPr>
      <w:r>
        <w:rPr>
          <w:rFonts w:cs="Arial"/>
          <w:bCs/>
          <w:szCs w:val="20"/>
        </w:rPr>
        <w:t>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w:t>
      </w:r>
    </w:p>
    <w:p w14:paraId="433DBCBE" w14:textId="77777777" w:rsidR="00EB70DC" w:rsidRDefault="00EB70DC" w:rsidP="00EB70DC">
      <w:pPr>
        <w:pStyle w:val="BodyText"/>
        <w:numPr>
          <w:ilvl w:val="0"/>
          <w:numId w:val="12"/>
        </w:numPr>
        <w:rPr>
          <w:rFonts w:cs="Arial"/>
          <w:bCs/>
          <w:szCs w:val="20"/>
        </w:rPr>
      </w:pPr>
      <w:r>
        <w:rPr>
          <w:rFonts w:cs="Arial"/>
          <w:bCs/>
          <w:szCs w:val="20"/>
        </w:rPr>
        <w:t xml:space="preserve">Employees who are permanently appointed to Queensland Health may be required to undertake a period of probation </w:t>
      </w:r>
      <w:r>
        <w:rPr>
          <w:lang w:eastAsia="en-AU"/>
        </w:rPr>
        <w:t>appropriate</w:t>
      </w:r>
      <w:r>
        <w:rPr>
          <w:rFonts w:cs="Arial"/>
          <w:bCs/>
          <w:szCs w:val="20"/>
        </w:rPr>
        <w:t xml:space="preserve"> to the appointment.</w:t>
      </w:r>
    </w:p>
    <w:p w14:paraId="327EA010" w14:textId="77777777" w:rsidR="00EB70DC" w:rsidRDefault="00EB70DC" w:rsidP="00EB70DC">
      <w:pPr>
        <w:pStyle w:val="BodyText"/>
        <w:numPr>
          <w:ilvl w:val="0"/>
          <w:numId w:val="12"/>
        </w:numPr>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3ECF53E3" w14:textId="77777777" w:rsidR="00EB70DC" w:rsidRDefault="00EB70DC" w:rsidP="00EB70DC">
      <w:pPr>
        <w:pStyle w:val="BodyText"/>
        <w:numPr>
          <w:ilvl w:val="0"/>
          <w:numId w:val="12"/>
        </w:numPr>
        <w:rPr>
          <w:rFonts w:cs="Arial"/>
          <w:bCs/>
          <w:color w:val="auto"/>
          <w:szCs w:val="20"/>
        </w:rPr>
      </w:pPr>
      <w:r>
        <w:t xml:space="preserve">Applicants will be required to give a statement of their employment as a lobbyist within one (1) month of taking up the </w:t>
      </w:r>
      <w:r>
        <w:rPr>
          <w:lang w:eastAsia="en-AU"/>
        </w:rPr>
        <w:t>appointment</w:t>
      </w:r>
      <w:r>
        <w:t xml:space="preserve">. Details </w:t>
      </w:r>
      <w:hyperlink r:id="rId19" w:history="1">
        <w:r>
          <w:rPr>
            <w:rStyle w:val="Hyperlink"/>
          </w:rPr>
          <w:t>Lobbyist Disclosure</w:t>
        </w:r>
      </w:hyperlink>
      <w:r>
        <w:rPr>
          <w:rFonts w:eastAsia="Times New Roman"/>
          <w:color w:val="auto"/>
          <w:szCs w:val="20"/>
          <w:lang w:eastAsia="en-AU"/>
        </w:rPr>
        <w:t>.</w:t>
      </w:r>
    </w:p>
    <w:p w14:paraId="32D20FA5" w14:textId="77777777" w:rsidR="00EB70DC" w:rsidRDefault="00EB70DC" w:rsidP="00EB70DC">
      <w:pPr>
        <w:pStyle w:val="BodyText"/>
        <w:numPr>
          <w:ilvl w:val="0"/>
          <w:numId w:val="12"/>
        </w:numPr>
        <w:rPr>
          <w:rFonts w:cs="Arial"/>
          <w:bCs/>
          <w:szCs w:val="20"/>
        </w:rPr>
      </w:pPr>
      <w:r>
        <w:rPr>
          <w:rFonts w:cs="Arial"/>
          <w:bCs/>
          <w:szCs w:val="20"/>
        </w:rPr>
        <w:lastRenderedPageBreak/>
        <w:t xml:space="preserve">Applicants may be required to disclose any pre-existing illness or injury which may impact on their ability to perform the role. Details are available in section 571 of the </w:t>
      </w:r>
      <w:hyperlink r:id="rId20" w:history="1">
        <w:r>
          <w:rPr>
            <w:rStyle w:val="Hyperlink"/>
          </w:rPr>
          <w:t>Workers' Compensation and Rehabilitation Act 2003</w:t>
        </w:r>
      </w:hyperlink>
      <w:r>
        <w:rPr>
          <w:rStyle w:val="Hyperlink"/>
        </w:rPr>
        <w:t>.</w:t>
      </w:r>
    </w:p>
    <w:p w14:paraId="3FAF0129" w14:textId="77777777" w:rsidR="00EB70DC" w:rsidRDefault="00EB70DC" w:rsidP="00EB70DC">
      <w:pPr>
        <w:pStyle w:val="BodyText"/>
        <w:numPr>
          <w:ilvl w:val="0"/>
          <w:numId w:val="12"/>
        </w:numPr>
      </w:pPr>
      <w:r>
        <w:t xml:space="preserve">In accordance with Government requirements and Queensland Health’s commitment to a healthier workplace the </w:t>
      </w:r>
      <w:r>
        <w:rPr>
          <w:lang w:eastAsia="en-AU"/>
        </w:rPr>
        <w:t>Queensland</w:t>
      </w:r>
      <w:r>
        <w:t xml:space="preserve">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rPr>
        <w:t xml:space="preserve">Quit Smoking for Life </w:t>
      </w:r>
      <w:r>
        <w:t xml:space="preserve">program. Information is available at </w:t>
      </w:r>
      <w:hyperlink r:id="rId21" w:history="1">
        <w:r>
          <w:rPr>
            <w:rStyle w:val="Hyperlink"/>
          </w:rPr>
          <w:t>Quit smoking</w:t>
        </w:r>
        <w:proofErr w:type="gramStart"/>
        <w:r>
          <w:rPr>
            <w:rStyle w:val="Hyperlink"/>
          </w:rPr>
          <w:t>.....</w:t>
        </w:r>
        <w:proofErr w:type="gramEnd"/>
        <w:r>
          <w:rPr>
            <w:rStyle w:val="Hyperlink"/>
          </w:rPr>
          <w:t>for life!</w:t>
        </w:r>
      </w:hyperlink>
    </w:p>
    <w:p w14:paraId="7AEC33D2" w14:textId="77777777" w:rsidR="003C7AB7" w:rsidRDefault="003C7AB7" w:rsidP="00CC6337">
      <w:pPr>
        <w:pStyle w:val="Heading1"/>
        <w:spacing w:before="240" w:after="120"/>
        <w:rPr>
          <w:sz w:val="24"/>
          <w:szCs w:val="24"/>
        </w:rPr>
        <w:sectPr w:rsidR="003C7AB7" w:rsidSect="00A127CC">
          <w:footerReference w:type="default" r:id="rId22"/>
          <w:headerReference w:type="first" r:id="rId23"/>
          <w:footerReference w:type="first" r:id="rId24"/>
          <w:type w:val="continuous"/>
          <w:pgSz w:w="11906" w:h="16838" w:code="9"/>
          <w:pgMar w:top="709" w:right="849" w:bottom="1135" w:left="851" w:header="0" w:footer="161" w:gutter="0"/>
          <w:cols w:space="568"/>
          <w:titlePg/>
          <w:docGrid w:linePitch="360"/>
        </w:sectPr>
      </w:pPr>
    </w:p>
    <w:p w14:paraId="36F247CF" w14:textId="77777777" w:rsidR="008105BC" w:rsidRPr="00CC6337" w:rsidRDefault="008105BC" w:rsidP="006808B8">
      <w:pPr>
        <w:pStyle w:val="Heading1"/>
        <w:spacing w:before="240" w:after="360"/>
        <w:rPr>
          <w:sz w:val="24"/>
          <w:szCs w:val="24"/>
        </w:rPr>
      </w:pPr>
      <w:r w:rsidRPr="00D04923">
        <w:rPr>
          <w:sz w:val="24"/>
          <w:szCs w:val="24"/>
        </w:rPr>
        <w:lastRenderedPageBreak/>
        <w:t xml:space="preserve">Organisational Chart </w:t>
      </w:r>
    </w:p>
    <w:bookmarkEnd w:id="0"/>
    <w:bookmarkEnd w:id="1"/>
    <w:p w14:paraId="1C537840" w14:textId="1F91A712" w:rsidR="002D74AA" w:rsidRDefault="006808B8" w:rsidP="006808B8">
      <w:pPr>
        <w:spacing w:before="120" w:after="120"/>
      </w:pPr>
      <w:r>
        <w:object w:dxaOrig="15016" w:dyaOrig="9990" w14:anchorId="20224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385.5pt" o:ole="">
            <v:imagedata r:id="rId25" o:title=""/>
          </v:shape>
          <o:OLEObject Type="Embed" ProgID="Visio.Drawing.15" ShapeID="_x0000_i1025" DrawAspect="Content" ObjectID="_1769427447" r:id="rId26"/>
        </w:object>
      </w:r>
    </w:p>
    <w:sectPr w:rsidR="002D74AA" w:rsidSect="003C7AB7">
      <w:headerReference w:type="first" r:id="rId27"/>
      <w:footerReference w:type="first" r:id="rId28"/>
      <w:pgSz w:w="16838" w:h="11906" w:orient="landscape" w:code="9"/>
      <w:pgMar w:top="851" w:right="709" w:bottom="849" w:left="1135" w:header="567" w:footer="161"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7C16" w14:textId="77777777" w:rsidR="005A15B2" w:rsidRDefault="005A15B2" w:rsidP="00723663">
      <w:r>
        <w:separator/>
      </w:r>
    </w:p>
  </w:endnote>
  <w:endnote w:type="continuationSeparator" w:id="0">
    <w:p w14:paraId="5F34191D" w14:textId="77777777" w:rsidR="005A15B2" w:rsidRDefault="005A15B2"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C72410" w:rsidRPr="00C41B4E" w14:paraId="6FD4AEB8" w14:textId="77777777" w:rsidTr="00A7453C">
      <w:trPr>
        <w:trHeight w:val="287"/>
      </w:trPr>
      <w:tc>
        <w:tcPr>
          <w:tcW w:w="3265" w:type="dxa"/>
          <w:shd w:val="clear" w:color="auto" w:fill="auto"/>
        </w:tcPr>
        <w:p w14:paraId="5CF3CBBB" w14:textId="77777777" w:rsidR="00C72410" w:rsidRPr="00935303" w:rsidRDefault="00C72410"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FDBB88D" w14:textId="77777777" w:rsidR="00C72410" w:rsidRPr="00935303" w:rsidRDefault="00C72410" w:rsidP="00935303">
          <w:pPr>
            <w:pStyle w:val="Footer"/>
            <w:rPr>
              <w:i/>
            </w:rPr>
          </w:pPr>
          <w:r w:rsidRPr="00935303">
            <w:rPr>
              <w:i/>
              <w:color w:val="00A1DE" w:themeColor="background2"/>
            </w:rPr>
            <w:t xml:space="preserve">Role Description </w:t>
          </w:r>
        </w:p>
      </w:tc>
      <w:tc>
        <w:tcPr>
          <w:tcW w:w="3398" w:type="dxa"/>
          <w:shd w:val="clear" w:color="auto" w:fill="auto"/>
        </w:tcPr>
        <w:p w14:paraId="7B43B71C" w14:textId="77777777" w:rsidR="00C72410" w:rsidRPr="00C41B4E" w:rsidRDefault="00C72410"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C72410" w:rsidRPr="00C41B4E" w14:paraId="3C8E8BE3" w14:textId="77777777" w:rsidTr="00A7453C">
      <w:tc>
        <w:tcPr>
          <w:tcW w:w="6818" w:type="dxa"/>
          <w:gridSpan w:val="2"/>
          <w:shd w:val="clear" w:color="auto" w:fill="auto"/>
        </w:tcPr>
        <w:p w14:paraId="4D3FCB4B" w14:textId="77777777" w:rsidR="00C72410" w:rsidRPr="00A7453C" w:rsidRDefault="00C72410"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2366DF3A" w14:textId="77777777" w:rsidR="00C72410" w:rsidRPr="00C41B4E" w:rsidRDefault="00C72410" w:rsidP="00C41B4E">
          <w:pPr>
            <w:pStyle w:val="Footer"/>
            <w:jc w:val="right"/>
          </w:pPr>
        </w:p>
      </w:tc>
    </w:tr>
  </w:tbl>
  <w:p w14:paraId="439958CF" w14:textId="77777777" w:rsidR="00C72410" w:rsidRDefault="00C72410"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6DAC" w14:textId="4635A3B4" w:rsidR="007F2571" w:rsidRDefault="007F2571" w:rsidP="007F2571">
    <w:pPr>
      <w:tabs>
        <w:tab w:val="center" w:pos="5103"/>
        <w:tab w:val="right" w:pos="10489"/>
      </w:tabs>
    </w:pPr>
    <w:r>
      <w:rPr>
        <w:noProof/>
        <w:sz w:val="3276"/>
        <w:szCs w:val="3276"/>
      </w:rPr>
      <w:drawing>
        <wp:anchor distT="0" distB="0" distL="114300" distR="114300" simplePos="0" relativeHeight="251663360" behindDoc="0" locked="0" layoutInCell="1" allowOverlap="1" wp14:anchorId="3575C8EB" wp14:editId="1053DB43">
          <wp:simplePos x="0" y="0"/>
          <wp:positionH relativeFrom="margin">
            <wp:align>right</wp:align>
          </wp:positionH>
          <wp:positionV relativeFrom="paragraph">
            <wp:posOffset>-187325</wp:posOffset>
          </wp:positionV>
          <wp:extent cx="669290" cy="840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18FD0CF2" w14:textId="504D72B0" w:rsidR="007F2571" w:rsidRPr="00464480" w:rsidRDefault="007F2571" w:rsidP="007F2571">
    <w:pPr>
      <w:tabs>
        <w:tab w:val="center" w:pos="5103"/>
        <w:tab w:val="right" w:pos="10489"/>
      </w:tabs>
      <w:rPr>
        <w:sz w:val="16"/>
        <w:szCs w:val="16"/>
      </w:rPr>
    </w:pPr>
    <w:r>
      <w:t>Version 1.3</w:t>
    </w:r>
    <w:r>
      <w:tab/>
    </w:r>
    <w:r w:rsidRPr="00464480">
      <w:rPr>
        <w:sz w:val="16"/>
        <w:szCs w:val="16"/>
      </w:rPr>
      <w:t xml:space="preserve">Created and endorsed: </w:t>
    </w:r>
    <w:r>
      <w:rPr>
        <w:sz w:val="16"/>
        <w:szCs w:val="16"/>
      </w:rPr>
      <w:t>August 2018</w:t>
    </w:r>
  </w:p>
  <w:p w14:paraId="3EE64FCB" w14:textId="77777777" w:rsidR="007F2571" w:rsidRDefault="007F2571" w:rsidP="007F2571">
    <w:pPr>
      <w:tabs>
        <w:tab w:val="center" w:pos="5244"/>
        <w:tab w:val="right" w:pos="10489"/>
      </w:tabs>
      <w:jc w:val="center"/>
      <w:rPr>
        <w:sz w:val="16"/>
        <w:szCs w:val="16"/>
      </w:rPr>
    </w:pPr>
    <w:r>
      <w:rPr>
        <w:sz w:val="16"/>
        <w:szCs w:val="16"/>
      </w:rPr>
      <w:t>D</w:t>
    </w:r>
    <w:r w:rsidRPr="00464480">
      <w:rPr>
        <w:sz w:val="16"/>
        <w:szCs w:val="16"/>
      </w:rPr>
      <w:t>ate</w:t>
    </w:r>
    <w:r>
      <w:rPr>
        <w:sz w:val="16"/>
        <w:szCs w:val="16"/>
      </w:rPr>
      <w:t xml:space="preserve"> reviewed</w:t>
    </w:r>
    <w:r w:rsidRPr="00464480">
      <w:rPr>
        <w:sz w:val="16"/>
        <w:szCs w:val="16"/>
      </w:rPr>
      <w:t xml:space="preserve">: </w:t>
    </w:r>
    <w:r>
      <w:rPr>
        <w:sz w:val="16"/>
        <w:szCs w:val="16"/>
      </w:rPr>
      <w:t>December 2019</w:t>
    </w:r>
  </w:p>
  <w:p w14:paraId="248FFB36" w14:textId="77777777" w:rsidR="007F2571" w:rsidRDefault="007F2571" w:rsidP="007F2571">
    <w:pPr>
      <w:tabs>
        <w:tab w:val="center" w:pos="5244"/>
        <w:tab w:val="right" w:pos="10489"/>
      </w:tabs>
      <w:jc w:val="center"/>
    </w:pPr>
    <w:r>
      <w:rPr>
        <w:sz w:val="16"/>
        <w:szCs w:val="16"/>
      </w:rPr>
      <w:t>Last update: September 2021</w:t>
    </w:r>
  </w:p>
  <w:p w14:paraId="76384A4C" w14:textId="0438229F" w:rsidR="00C72410" w:rsidRDefault="003C7AB7">
    <w:pPr>
      <w:pStyle w:val="Footer"/>
    </w:pPr>
    <w:r>
      <w:rPr>
        <w:noProof/>
        <w:sz w:val="3276"/>
        <w:szCs w:val="3276"/>
      </w:rPr>
      <w:drawing>
        <wp:anchor distT="0" distB="0" distL="114300" distR="114300" simplePos="0" relativeHeight="251661312" behindDoc="0" locked="0" layoutInCell="1" allowOverlap="1" wp14:anchorId="1C751367" wp14:editId="0FB55790">
          <wp:simplePos x="0" y="0"/>
          <wp:positionH relativeFrom="column">
            <wp:posOffset>8406130</wp:posOffset>
          </wp:positionH>
          <wp:positionV relativeFrom="paragraph">
            <wp:posOffset>-834390</wp:posOffset>
          </wp:positionV>
          <wp:extent cx="669290" cy="8407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02BF" w14:textId="77777777" w:rsidR="007F2571" w:rsidRDefault="007F2571" w:rsidP="007756D6">
    <w:pPr>
      <w:tabs>
        <w:tab w:val="center" w:pos="5244"/>
        <w:tab w:val="right" w:pos="10489"/>
      </w:tabs>
    </w:pPr>
  </w:p>
  <w:tbl>
    <w:tblPr>
      <w:tblW w:w="5000" w:type="pct"/>
      <w:tblCellMar>
        <w:left w:w="0" w:type="dxa"/>
        <w:right w:w="0" w:type="dxa"/>
      </w:tblCellMar>
      <w:tblLook w:val="04A0" w:firstRow="1" w:lastRow="0" w:firstColumn="1" w:lastColumn="0" w:noHBand="0" w:noVBand="1"/>
    </w:tblPr>
    <w:tblGrid>
      <w:gridCol w:w="4792"/>
      <w:gridCol w:w="5215"/>
      <w:gridCol w:w="4987"/>
    </w:tblGrid>
    <w:tr w:rsidR="007F2571" w:rsidRPr="00C41B4E" w14:paraId="4A3C3036" w14:textId="77777777" w:rsidTr="004A2CF7">
      <w:trPr>
        <w:trHeight w:val="287"/>
      </w:trPr>
      <w:tc>
        <w:tcPr>
          <w:tcW w:w="3265" w:type="dxa"/>
          <w:shd w:val="clear" w:color="auto" w:fill="auto"/>
        </w:tcPr>
        <w:p w14:paraId="0AD33ACC" w14:textId="77777777" w:rsidR="007F2571" w:rsidRPr="00935303" w:rsidRDefault="007F2571" w:rsidP="00C203E8">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64835CAE" w14:textId="77777777" w:rsidR="007F2571" w:rsidRPr="00935303" w:rsidRDefault="007F2571" w:rsidP="00C203E8">
          <w:pPr>
            <w:pStyle w:val="Footer"/>
            <w:rPr>
              <w:i/>
            </w:rPr>
          </w:pPr>
          <w:r w:rsidRPr="00935303">
            <w:rPr>
              <w:i/>
              <w:color w:val="00A1DE" w:themeColor="background2"/>
            </w:rPr>
            <w:t xml:space="preserve">Role Description </w:t>
          </w:r>
        </w:p>
      </w:tc>
      <w:tc>
        <w:tcPr>
          <w:tcW w:w="3398" w:type="dxa"/>
          <w:shd w:val="clear" w:color="auto" w:fill="auto"/>
        </w:tcPr>
        <w:p w14:paraId="1E875E5F" w14:textId="77777777" w:rsidR="007F2571" w:rsidRPr="00C41B4E" w:rsidRDefault="007F2571" w:rsidP="00C203E8">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2</w:t>
          </w:r>
          <w:r w:rsidRPr="00C41B4E">
            <w:fldChar w:fldCharType="end"/>
          </w:r>
        </w:p>
      </w:tc>
    </w:tr>
    <w:tr w:rsidR="007F2571" w:rsidRPr="00C41B4E" w14:paraId="3863F883" w14:textId="77777777" w:rsidTr="004A2CF7">
      <w:tc>
        <w:tcPr>
          <w:tcW w:w="6818" w:type="dxa"/>
          <w:gridSpan w:val="2"/>
          <w:shd w:val="clear" w:color="auto" w:fill="auto"/>
        </w:tcPr>
        <w:p w14:paraId="02126F52" w14:textId="77777777" w:rsidR="007F2571" w:rsidRPr="00A7453C" w:rsidRDefault="007F2571" w:rsidP="00C203E8">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18455F41" w14:textId="77777777" w:rsidR="007F2571" w:rsidRPr="00C41B4E" w:rsidRDefault="007F2571" w:rsidP="00C203E8">
          <w:pPr>
            <w:pStyle w:val="Footer"/>
            <w:jc w:val="right"/>
          </w:pPr>
        </w:p>
      </w:tc>
    </w:tr>
  </w:tbl>
  <w:p w14:paraId="6E419766" w14:textId="131C875E" w:rsidR="007F2571" w:rsidRDefault="007F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CC4C" w14:textId="77777777" w:rsidR="005A15B2" w:rsidRDefault="005A15B2" w:rsidP="00723663">
      <w:r>
        <w:separator/>
      </w:r>
    </w:p>
  </w:footnote>
  <w:footnote w:type="continuationSeparator" w:id="0">
    <w:p w14:paraId="305D2F96" w14:textId="77777777" w:rsidR="005A15B2" w:rsidRDefault="005A15B2"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93AC" w14:textId="58402A09" w:rsidR="00C72410" w:rsidRDefault="00A127CC" w:rsidP="00A127CC">
    <w:pPr>
      <w:pStyle w:val="Header"/>
      <w:ind w:left="-851"/>
    </w:pPr>
    <w:r>
      <w:rPr>
        <w:noProof/>
      </w:rPr>
      <w:drawing>
        <wp:inline distT="0" distB="0" distL="0" distR="0" wp14:anchorId="369C98CC" wp14:editId="783D06F0">
          <wp:extent cx="7602220" cy="20364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20364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9284" w14:textId="627ACE65" w:rsidR="007F2571" w:rsidRDefault="007F2571" w:rsidP="00A127CC">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16CD2"/>
    <w:multiLevelType w:val="multilevel"/>
    <w:tmpl w:val="FD42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452D6"/>
    <w:multiLevelType w:val="hybridMultilevel"/>
    <w:tmpl w:val="3BF20042"/>
    <w:lvl w:ilvl="0" w:tplc="0C090001">
      <w:start w:val="1"/>
      <w:numFmt w:val="bullet"/>
      <w:lvlText w:val=""/>
      <w:lvlJc w:val="left"/>
      <w:pPr>
        <w:ind w:left="360" w:hanging="360"/>
      </w:pPr>
      <w:rPr>
        <w:rFonts w:ascii="Symbol" w:hAnsi="Symbol" w:hint="default"/>
        <w:color w:val="35546A"/>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DA125E1"/>
    <w:multiLevelType w:val="hybridMultilevel"/>
    <w:tmpl w:val="CFE04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3"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50424335"/>
    <w:multiLevelType w:val="hybridMultilevel"/>
    <w:tmpl w:val="CC5A4392"/>
    <w:lvl w:ilvl="0" w:tplc="E684F940">
      <w:numFmt w:val="bullet"/>
      <w:lvlText w:val="-"/>
      <w:lvlJc w:val="left"/>
      <w:pPr>
        <w:ind w:left="567" w:hanging="360"/>
      </w:pPr>
      <w:rPr>
        <w:rFonts w:ascii="Arial" w:eastAsia="Arial" w:hAnsi="Arial" w:cs="Aria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8" w15:restartNumberingAfterBreak="0">
    <w:nsid w:val="52AA0A7D"/>
    <w:multiLevelType w:val="multilevel"/>
    <w:tmpl w:val="E9B44B6A"/>
    <w:numStyleLink w:val="ListParagraph"/>
  </w:abstractNum>
  <w:abstractNum w:abstractNumId="19" w15:restartNumberingAfterBreak="0">
    <w:nsid w:val="54516943"/>
    <w:multiLevelType w:val="hybridMultilevel"/>
    <w:tmpl w:val="FF308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166BA7"/>
    <w:multiLevelType w:val="hybridMultilevel"/>
    <w:tmpl w:val="70F4A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32658076">
    <w:abstractNumId w:val="21"/>
  </w:num>
  <w:num w:numId="2" w16cid:durableId="1070930825">
    <w:abstractNumId w:val="6"/>
  </w:num>
  <w:num w:numId="3" w16cid:durableId="418523404">
    <w:abstractNumId w:val="14"/>
  </w:num>
  <w:num w:numId="4" w16cid:durableId="1521162071">
    <w:abstractNumId w:val="5"/>
  </w:num>
  <w:num w:numId="5" w16cid:durableId="1356346331">
    <w:abstractNumId w:val="18"/>
  </w:num>
  <w:num w:numId="6" w16cid:durableId="393508656">
    <w:abstractNumId w:val="7"/>
  </w:num>
  <w:num w:numId="7" w16cid:durableId="681712428">
    <w:abstractNumId w:val="9"/>
  </w:num>
  <w:num w:numId="8" w16cid:durableId="1500121799">
    <w:abstractNumId w:val="10"/>
  </w:num>
  <w:num w:numId="9" w16cid:durableId="408965046">
    <w:abstractNumId w:val="4"/>
  </w:num>
  <w:num w:numId="10" w16cid:durableId="266277046">
    <w:abstractNumId w:val="16"/>
  </w:num>
  <w:num w:numId="11" w16cid:durableId="1009598032">
    <w:abstractNumId w:val="3"/>
  </w:num>
  <w:num w:numId="12" w16cid:durableId="1046955249">
    <w:abstractNumId w:val="15"/>
  </w:num>
  <w:num w:numId="13" w16cid:durableId="918293143">
    <w:abstractNumId w:val="22"/>
  </w:num>
  <w:num w:numId="14" w16cid:durableId="1617373886">
    <w:abstractNumId w:val="0"/>
  </w:num>
  <w:num w:numId="15" w16cid:durableId="2141066840">
    <w:abstractNumId w:val="13"/>
  </w:num>
  <w:num w:numId="16" w16cid:durableId="668993660">
    <w:abstractNumId w:val="8"/>
  </w:num>
  <w:num w:numId="17" w16cid:durableId="1211333951">
    <w:abstractNumId w:val="12"/>
  </w:num>
  <w:num w:numId="18" w16cid:durableId="1812824020">
    <w:abstractNumId w:val="17"/>
  </w:num>
  <w:num w:numId="19" w16cid:durableId="247232282">
    <w:abstractNumId w:val="1"/>
  </w:num>
  <w:num w:numId="20" w16cid:durableId="1733649348">
    <w:abstractNumId w:val="11"/>
  </w:num>
  <w:num w:numId="21" w16cid:durableId="1792820898">
    <w:abstractNumId w:val="20"/>
  </w:num>
  <w:num w:numId="22" w16cid:durableId="140467249">
    <w:abstractNumId w:val="2"/>
  </w:num>
  <w:num w:numId="23" w16cid:durableId="150405563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5250"/>
    <w:rsid w:val="000127CF"/>
    <w:rsid w:val="000142B2"/>
    <w:rsid w:val="00026381"/>
    <w:rsid w:val="00026DE9"/>
    <w:rsid w:val="000277AA"/>
    <w:rsid w:val="000527BA"/>
    <w:rsid w:val="000638C5"/>
    <w:rsid w:val="00064165"/>
    <w:rsid w:val="00072292"/>
    <w:rsid w:val="000A2AB5"/>
    <w:rsid w:val="000B5F0A"/>
    <w:rsid w:val="000D29BE"/>
    <w:rsid w:val="000D65EE"/>
    <w:rsid w:val="000E093D"/>
    <w:rsid w:val="000E62EF"/>
    <w:rsid w:val="0010389A"/>
    <w:rsid w:val="00116B2A"/>
    <w:rsid w:val="001215B8"/>
    <w:rsid w:val="00127C38"/>
    <w:rsid w:val="001364FD"/>
    <w:rsid w:val="00137E83"/>
    <w:rsid w:val="00142153"/>
    <w:rsid w:val="001479BA"/>
    <w:rsid w:val="00154509"/>
    <w:rsid w:val="00166811"/>
    <w:rsid w:val="001669FD"/>
    <w:rsid w:val="00174B78"/>
    <w:rsid w:val="00174E88"/>
    <w:rsid w:val="00181DC2"/>
    <w:rsid w:val="001927F8"/>
    <w:rsid w:val="001C7BD5"/>
    <w:rsid w:val="001D33E7"/>
    <w:rsid w:val="001E544B"/>
    <w:rsid w:val="001E6C20"/>
    <w:rsid w:val="00215B18"/>
    <w:rsid w:val="00232628"/>
    <w:rsid w:val="00233FC9"/>
    <w:rsid w:val="00272E2D"/>
    <w:rsid w:val="002A16F9"/>
    <w:rsid w:val="002A3907"/>
    <w:rsid w:val="002C5078"/>
    <w:rsid w:val="002D3993"/>
    <w:rsid w:val="002D74AA"/>
    <w:rsid w:val="002E044E"/>
    <w:rsid w:val="003049E6"/>
    <w:rsid w:val="00306E07"/>
    <w:rsid w:val="003101C7"/>
    <w:rsid w:val="0031672F"/>
    <w:rsid w:val="00316BCD"/>
    <w:rsid w:val="00332082"/>
    <w:rsid w:val="00335AD0"/>
    <w:rsid w:val="00345686"/>
    <w:rsid w:val="0036693A"/>
    <w:rsid w:val="00382B6C"/>
    <w:rsid w:val="003A48BD"/>
    <w:rsid w:val="003B7A3F"/>
    <w:rsid w:val="003C7AB7"/>
    <w:rsid w:val="003D7891"/>
    <w:rsid w:val="003E036A"/>
    <w:rsid w:val="003E3532"/>
    <w:rsid w:val="003F789E"/>
    <w:rsid w:val="004017F0"/>
    <w:rsid w:val="0042235E"/>
    <w:rsid w:val="00422648"/>
    <w:rsid w:val="004358C2"/>
    <w:rsid w:val="00446BFB"/>
    <w:rsid w:val="00451D5B"/>
    <w:rsid w:val="00461D31"/>
    <w:rsid w:val="00464CFC"/>
    <w:rsid w:val="0047551F"/>
    <w:rsid w:val="00480C65"/>
    <w:rsid w:val="004A7229"/>
    <w:rsid w:val="004B00B7"/>
    <w:rsid w:val="004D0C14"/>
    <w:rsid w:val="004F547C"/>
    <w:rsid w:val="0050261F"/>
    <w:rsid w:val="0050629E"/>
    <w:rsid w:val="0052610B"/>
    <w:rsid w:val="005417FE"/>
    <w:rsid w:val="00552B85"/>
    <w:rsid w:val="00564993"/>
    <w:rsid w:val="00567DCF"/>
    <w:rsid w:val="005720B9"/>
    <w:rsid w:val="00572D1F"/>
    <w:rsid w:val="00575321"/>
    <w:rsid w:val="005800BE"/>
    <w:rsid w:val="005811D1"/>
    <w:rsid w:val="005971ED"/>
    <w:rsid w:val="005A15B2"/>
    <w:rsid w:val="005B54F0"/>
    <w:rsid w:val="005B7E6B"/>
    <w:rsid w:val="005C3AA1"/>
    <w:rsid w:val="005C7C74"/>
    <w:rsid w:val="005D0167"/>
    <w:rsid w:val="005D230F"/>
    <w:rsid w:val="005D4E57"/>
    <w:rsid w:val="005E28C7"/>
    <w:rsid w:val="005E7363"/>
    <w:rsid w:val="006001B8"/>
    <w:rsid w:val="00600593"/>
    <w:rsid w:val="0062636B"/>
    <w:rsid w:val="0065010A"/>
    <w:rsid w:val="006508BC"/>
    <w:rsid w:val="0066311F"/>
    <w:rsid w:val="006808B8"/>
    <w:rsid w:val="00687C02"/>
    <w:rsid w:val="006A1683"/>
    <w:rsid w:val="006B3962"/>
    <w:rsid w:val="006C0E44"/>
    <w:rsid w:val="006C4FCD"/>
    <w:rsid w:val="006D5405"/>
    <w:rsid w:val="006D7642"/>
    <w:rsid w:val="006F2DBF"/>
    <w:rsid w:val="00723663"/>
    <w:rsid w:val="0073495D"/>
    <w:rsid w:val="00734F5E"/>
    <w:rsid w:val="007405A4"/>
    <w:rsid w:val="00741209"/>
    <w:rsid w:val="00757F57"/>
    <w:rsid w:val="00773815"/>
    <w:rsid w:val="007756D6"/>
    <w:rsid w:val="00787153"/>
    <w:rsid w:val="007B215D"/>
    <w:rsid w:val="007B21CD"/>
    <w:rsid w:val="007B4146"/>
    <w:rsid w:val="007C38B8"/>
    <w:rsid w:val="007D703F"/>
    <w:rsid w:val="007F2571"/>
    <w:rsid w:val="008011C6"/>
    <w:rsid w:val="008105BC"/>
    <w:rsid w:val="00810D79"/>
    <w:rsid w:val="00834296"/>
    <w:rsid w:val="0083684A"/>
    <w:rsid w:val="00844CD8"/>
    <w:rsid w:val="00862690"/>
    <w:rsid w:val="008832DD"/>
    <w:rsid w:val="008836DE"/>
    <w:rsid w:val="00890B9B"/>
    <w:rsid w:val="008A5EF4"/>
    <w:rsid w:val="008B0622"/>
    <w:rsid w:val="008C110A"/>
    <w:rsid w:val="008C1FE7"/>
    <w:rsid w:val="008D1BC8"/>
    <w:rsid w:val="008D50BA"/>
    <w:rsid w:val="008E2C24"/>
    <w:rsid w:val="008E473D"/>
    <w:rsid w:val="00903AF7"/>
    <w:rsid w:val="0091290E"/>
    <w:rsid w:val="00935303"/>
    <w:rsid w:val="00937746"/>
    <w:rsid w:val="00953967"/>
    <w:rsid w:val="0096154E"/>
    <w:rsid w:val="00962672"/>
    <w:rsid w:val="00966307"/>
    <w:rsid w:val="00971B14"/>
    <w:rsid w:val="00977A85"/>
    <w:rsid w:val="0098071F"/>
    <w:rsid w:val="00981D5D"/>
    <w:rsid w:val="009E20E4"/>
    <w:rsid w:val="009E2F07"/>
    <w:rsid w:val="009E376F"/>
    <w:rsid w:val="009F2D93"/>
    <w:rsid w:val="009F3881"/>
    <w:rsid w:val="00A127CC"/>
    <w:rsid w:val="00A15423"/>
    <w:rsid w:val="00A27DFC"/>
    <w:rsid w:val="00A33F0F"/>
    <w:rsid w:val="00A34437"/>
    <w:rsid w:val="00A50716"/>
    <w:rsid w:val="00A5116C"/>
    <w:rsid w:val="00A55A6B"/>
    <w:rsid w:val="00A7453C"/>
    <w:rsid w:val="00A90F2C"/>
    <w:rsid w:val="00AA4612"/>
    <w:rsid w:val="00AA74A3"/>
    <w:rsid w:val="00AA751D"/>
    <w:rsid w:val="00AB0898"/>
    <w:rsid w:val="00AB2F2E"/>
    <w:rsid w:val="00AD0F7D"/>
    <w:rsid w:val="00AD4AF0"/>
    <w:rsid w:val="00AF1FD1"/>
    <w:rsid w:val="00B025B0"/>
    <w:rsid w:val="00B119B0"/>
    <w:rsid w:val="00B23013"/>
    <w:rsid w:val="00B30147"/>
    <w:rsid w:val="00B35C6A"/>
    <w:rsid w:val="00B479C1"/>
    <w:rsid w:val="00B5088D"/>
    <w:rsid w:val="00B531DD"/>
    <w:rsid w:val="00B7182D"/>
    <w:rsid w:val="00B730F5"/>
    <w:rsid w:val="00B742E4"/>
    <w:rsid w:val="00BC610A"/>
    <w:rsid w:val="00BD33D2"/>
    <w:rsid w:val="00C01916"/>
    <w:rsid w:val="00C15284"/>
    <w:rsid w:val="00C203E8"/>
    <w:rsid w:val="00C41B4E"/>
    <w:rsid w:val="00C4439F"/>
    <w:rsid w:val="00C525BA"/>
    <w:rsid w:val="00C5799F"/>
    <w:rsid w:val="00C61651"/>
    <w:rsid w:val="00C63B87"/>
    <w:rsid w:val="00C72410"/>
    <w:rsid w:val="00C73FBE"/>
    <w:rsid w:val="00CB3AC9"/>
    <w:rsid w:val="00CC047A"/>
    <w:rsid w:val="00CC2808"/>
    <w:rsid w:val="00CC4416"/>
    <w:rsid w:val="00CC6337"/>
    <w:rsid w:val="00CE4778"/>
    <w:rsid w:val="00D04923"/>
    <w:rsid w:val="00D32D5C"/>
    <w:rsid w:val="00D35ACC"/>
    <w:rsid w:val="00D35D74"/>
    <w:rsid w:val="00D37334"/>
    <w:rsid w:val="00D43E03"/>
    <w:rsid w:val="00D54E66"/>
    <w:rsid w:val="00D70647"/>
    <w:rsid w:val="00D707E5"/>
    <w:rsid w:val="00D81532"/>
    <w:rsid w:val="00D82BCA"/>
    <w:rsid w:val="00D85B45"/>
    <w:rsid w:val="00D9169D"/>
    <w:rsid w:val="00D95EE2"/>
    <w:rsid w:val="00DB0DD8"/>
    <w:rsid w:val="00DB59D9"/>
    <w:rsid w:val="00DB600E"/>
    <w:rsid w:val="00DD4430"/>
    <w:rsid w:val="00DD70F0"/>
    <w:rsid w:val="00DE1DCD"/>
    <w:rsid w:val="00E235FD"/>
    <w:rsid w:val="00E53F75"/>
    <w:rsid w:val="00E71231"/>
    <w:rsid w:val="00E87A8D"/>
    <w:rsid w:val="00E914DC"/>
    <w:rsid w:val="00EB70DC"/>
    <w:rsid w:val="00ED6DB0"/>
    <w:rsid w:val="00EE47F8"/>
    <w:rsid w:val="00F00E67"/>
    <w:rsid w:val="00F07AF9"/>
    <w:rsid w:val="00F118C3"/>
    <w:rsid w:val="00F13EBF"/>
    <w:rsid w:val="00F62FCC"/>
    <w:rsid w:val="00F647CE"/>
    <w:rsid w:val="00F64E68"/>
    <w:rsid w:val="00F662AF"/>
    <w:rsid w:val="00F76B3C"/>
    <w:rsid w:val="00F77B65"/>
    <w:rsid w:val="00F904D9"/>
    <w:rsid w:val="00FB1630"/>
    <w:rsid w:val="00FB7B3F"/>
    <w:rsid w:val="00FC0BC3"/>
    <w:rsid w:val="00FC7037"/>
    <w:rsid w:val="00FD1621"/>
    <w:rsid w:val="00FD754F"/>
    <w:rsid w:val="00FF09A2"/>
    <w:rsid w:val="00FF0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45EF79D"/>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styleId="FollowedHyperlink">
    <w:name w:val="FollowedHyperlink"/>
    <w:basedOn w:val="DefaultParagraphFont"/>
    <w:uiPriority w:val="15"/>
    <w:semiHidden/>
    <w:unhideWhenUsed/>
    <w:rsid w:val="006B3962"/>
    <w:rPr>
      <w:color w:val="800080" w:themeColor="followedHyperlink"/>
      <w:u w:val="single"/>
    </w:rPr>
  </w:style>
  <w:style w:type="character" w:customStyle="1" w:styleId="normaltextrun1">
    <w:name w:val="normaltextrun1"/>
    <w:basedOn w:val="DefaultParagraphFont"/>
    <w:rsid w:val="00AA74A3"/>
  </w:style>
  <w:style w:type="character" w:customStyle="1" w:styleId="contentcontrol">
    <w:name w:val="contentcontrol"/>
    <w:basedOn w:val="DefaultParagraphFont"/>
    <w:rsid w:val="00AA74A3"/>
  </w:style>
  <w:style w:type="paragraph" w:styleId="NormalWeb">
    <w:name w:val="Normal (Web)"/>
    <w:basedOn w:val="Normal"/>
    <w:uiPriority w:val="99"/>
    <w:semiHidden/>
    <w:unhideWhenUsed/>
    <w:rsid w:val="00AF1FD1"/>
    <w:pPr>
      <w:spacing w:before="100" w:beforeAutospacing="1" w:after="100" w:afterAutospacing="1"/>
    </w:pPr>
    <w:rPr>
      <w:rFonts w:ascii="Times New Roman" w:eastAsia="Times New Roman" w:hAnsi="Times New Roman"/>
      <w:sz w:val="24"/>
      <w:szCs w:val="24"/>
      <w:lang w:eastAsia="en-AU"/>
    </w:rPr>
  </w:style>
  <w:style w:type="character" w:customStyle="1" w:styleId="acopre1">
    <w:name w:val="acopre1"/>
    <w:basedOn w:val="DefaultParagraphFont"/>
    <w:rsid w:val="008C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7644">
      <w:bodyDiv w:val="1"/>
      <w:marLeft w:val="0"/>
      <w:marRight w:val="0"/>
      <w:marTop w:val="0"/>
      <w:marBottom w:val="0"/>
      <w:divBdr>
        <w:top w:val="none" w:sz="0" w:space="0" w:color="auto"/>
        <w:left w:val="none" w:sz="0" w:space="0" w:color="auto"/>
        <w:bottom w:val="none" w:sz="0" w:space="0" w:color="auto"/>
        <w:right w:val="none" w:sz="0" w:space="0" w:color="auto"/>
      </w:divBdr>
    </w:div>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614210324">
      <w:bodyDiv w:val="1"/>
      <w:marLeft w:val="0"/>
      <w:marRight w:val="0"/>
      <w:marTop w:val="0"/>
      <w:marBottom w:val="0"/>
      <w:divBdr>
        <w:top w:val="none" w:sz="0" w:space="0" w:color="auto"/>
        <w:left w:val="none" w:sz="0" w:space="0" w:color="auto"/>
        <w:bottom w:val="none" w:sz="0" w:space="0" w:color="auto"/>
        <w:right w:val="none" w:sz="0" w:space="0" w:color="auto"/>
      </w:divBdr>
      <w:divsChild>
        <w:div w:id="1248417302">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0"/>
              <w:divBdr>
                <w:top w:val="none" w:sz="0" w:space="0" w:color="auto"/>
                <w:left w:val="none" w:sz="0" w:space="0" w:color="auto"/>
                <w:bottom w:val="none" w:sz="0" w:space="0" w:color="auto"/>
                <w:right w:val="none" w:sz="0" w:space="0" w:color="auto"/>
              </w:divBdr>
              <w:divsChild>
                <w:div w:id="1235238053">
                  <w:marLeft w:val="0"/>
                  <w:marRight w:val="0"/>
                  <w:marTop w:val="0"/>
                  <w:marBottom w:val="0"/>
                  <w:divBdr>
                    <w:top w:val="none" w:sz="0" w:space="0" w:color="auto"/>
                    <w:left w:val="none" w:sz="0" w:space="0" w:color="auto"/>
                    <w:bottom w:val="none" w:sz="0" w:space="0" w:color="auto"/>
                    <w:right w:val="none" w:sz="0" w:space="0" w:color="auto"/>
                  </w:divBdr>
                  <w:divsChild>
                    <w:div w:id="1819027377">
                      <w:marLeft w:val="0"/>
                      <w:marRight w:val="0"/>
                      <w:marTop w:val="0"/>
                      <w:marBottom w:val="0"/>
                      <w:divBdr>
                        <w:top w:val="none" w:sz="0" w:space="0" w:color="auto"/>
                        <w:left w:val="none" w:sz="0" w:space="0" w:color="auto"/>
                        <w:bottom w:val="none" w:sz="0" w:space="0" w:color="auto"/>
                        <w:right w:val="none" w:sz="0" w:space="0" w:color="auto"/>
                      </w:divBdr>
                      <w:divsChild>
                        <w:div w:id="8642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7003">
      <w:bodyDiv w:val="1"/>
      <w:marLeft w:val="0"/>
      <w:marRight w:val="0"/>
      <w:marTop w:val="0"/>
      <w:marBottom w:val="0"/>
      <w:divBdr>
        <w:top w:val="none" w:sz="0" w:space="0" w:color="auto"/>
        <w:left w:val="none" w:sz="0" w:space="0" w:color="auto"/>
        <w:bottom w:val="none" w:sz="0" w:space="0" w:color="auto"/>
        <w:right w:val="none" w:sz="0" w:space="0" w:color="auto"/>
      </w:divBdr>
    </w:div>
    <w:div w:id="1547645912">
      <w:bodyDiv w:val="1"/>
      <w:marLeft w:val="0"/>
      <w:marRight w:val="0"/>
      <w:marTop w:val="0"/>
      <w:marBottom w:val="0"/>
      <w:divBdr>
        <w:top w:val="none" w:sz="0" w:space="0" w:color="auto"/>
        <w:left w:val="none" w:sz="0" w:space="0" w:color="auto"/>
        <w:bottom w:val="none" w:sz="0" w:space="0" w:color="auto"/>
        <w:right w:val="none" w:sz="0" w:space="0" w:color="auto"/>
      </w:divBdr>
    </w:div>
    <w:div w:id="2052684257">
      <w:bodyDiv w:val="1"/>
      <w:marLeft w:val="0"/>
      <w:marRight w:val="0"/>
      <w:marTop w:val="0"/>
      <w:marBottom w:val="0"/>
      <w:divBdr>
        <w:top w:val="none" w:sz="0" w:space="0" w:color="auto"/>
        <w:left w:val="none" w:sz="0" w:space="0" w:color="auto"/>
        <w:bottom w:val="none" w:sz="0" w:space="0" w:color="auto"/>
        <w:right w:val="none" w:sz="0" w:space="0" w:color="auto"/>
      </w:divBdr>
    </w:div>
    <w:div w:id="2090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LEGISLTN/CURRENT/W/WorkHSA11.pdf" TargetMode="External"/><Relationship Id="rId18" Type="http://schemas.openxmlformats.org/officeDocument/2006/relationships/hyperlink" Target="https://www.townsville.health.qld.gov.au/about-us/health-equity/" TargetMode="External"/><Relationship Id="rId26"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hyperlink" Target="https://qheps.health.qld.gov.au/smoke-free/quitsmoking" TargetMode="External"/><Relationship Id="rId7" Type="http://schemas.openxmlformats.org/officeDocument/2006/relationships/settings" Target="settings.xml"/><Relationship Id="rId12" Type="http://schemas.openxmlformats.org/officeDocument/2006/relationships/hyperlink" Target="https://www.safetyandquality.gov.au/" TargetMode="External"/><Relationship Id="rId17" Type="http://schemas.openxmlformats.org/officeDocument/2006/relationships/hyperlink" Target="https://www.townsville.health.qld.gov.au/"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legislation.qld.gov.au/legisltn/current/w/workerscompa0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our-valu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qheps.health.qld.gov.au/__data/assets/pdf_file/0035/2801978/strategic-plan.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qld.gov.au/gov/documents/policy/lobbyist-disclos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rtjobs.qld.gov.au"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35340-2944-4727-9f74-27603fa6c14a" xsi:nil="true"/>
    <lcf76f155ced4ddcb4097134ff3c332f xmlns="5442c8b6-36d1-424d-99f1-8c5d029020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45BE6239C5B4190207737B6E212A6" ma:contentTypeVersion="13" ma:contentTypeDescription="Create a new document." ma:contentTypeScope="" ma:versionID="d559ea21b92dde1845594c93a9d347e0">
  <xsd:schema xmlns:xsd="http://www.w3.org/2001/XMLSchema" xmlns:xs="http://www.w3.org/2001/XMLSchema" xmlns:p="http://schemas.microsoft.com/office/2006/metadata/properties" xmlns:ns2="5442c8b6-36d1-424d-99f1-8c5d029020e8" xmlns:ns3="1a7c7d01-e015-440f-9129-a9eda98f59e7" xmlns:ns4="3e035340-2944-4727-9f74-27603fa6c14a" targetNamespace="http://schemas.microsoft.com/office/2006/metadata/properties" ma:root="true" ma:fieldsID="725ae310462df4e78c2dbcae1628a34b" ns2:_="" ns3:_="" ns4:_="">
    <xsd:import namespace="5442c8b6-36d1-424d-99f1-8c5d029020e8"/>
    <xsd:import namespace="1a7c7d01-e015-440f-9129-a9eda98f59e7"/>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c8b6-36d1-424d-99f1-8c5d02902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c7d01-e015-440f-9129-a9eda98f5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a07b8bd-c70d-434d-a2c6-adef65435480}" ma:internalName="TaxCatchAll" ma:showField="CatchAllData" ma:web="1a7c7d01-e015-440f-9129-a9eda98f5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BDA1-2CCD-4571-820A-BF2DD4572FE6}">
  <ds:schemaRefs>
    <ds:schemaRef ds:uri="http://schemas.microsoft.com/office/2006/metadata/properties"/>
    <ds:schemaRef ds:uri="http://schemas.microsoft.com/office/infopath/2007/PartnerControls"/>
    <ds:schemaRef ds:uri="3e035340-2944-4727-9f74-27603fa6c14a"/>
    <ds:schemaRef ds:uri="5442c8b6-36d1-424d-99f1-8c5d029020e8"/>
  </ds:schemaRefs>
</ds:datastoreItem>
</file>

<file path=customXml/itemProps2.xml><?xml version="1.0" encoding="utf-8"?>
<ds:datastoreItem xmlns:ds="http://schemas.openxmlformats.org/officeDocument/2006/customXml" ds:itemID="{4ACD7706-1DF0-4C08-9581-4DB1E4F5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c8b6-36d1-424d-99f1-8c5d029020e8"/>
    <ds:schemaRef ds:uri="1a7c7d01-e015-440f-9129-a9eda98f59e7"/>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E4AA1-1203-4270-8C70-61A5B26D4B46}">
  <ds:schemaRefs>
    <ds:schemaRef ds:uri="http://schemas.microsoft.com/sharepoint/v3/contenttype/forms"/>
  </ds:schemaRefs>
</ds:datastoreItem>
</file>

<file path=customXml/itemProps4.xml><?xml version="1.0" encoding="utf-8"?>
<ds:datastoreItem xmlns:ds="http://schemas.openxmlformats.org/officeDocument/2006/customXml" ds:itemID="{30493A82-8EEF-46FA-BB65-D9590E92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2</TotalTime>
  <Pages>7</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Role Description Template | Townsville HHS | Employment Services</vt:lpstr>
    </vt:vector>
  </TitlesOfParts>
  <Company>Townsville Hospital and Health Service</Company>
  <LinksUpToDate>false</LinksUpToDate>
  <CharactersWithSpaces>17185</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
  <cp:lastModifiedBy>Kylie Dunn</cp:lastModifiedBy>
  <cp:revision>3</cp:revision>
  <cp:lastPrinted>2018-01-31T06:39:00Z</cp:lastPrinted>
  <dcterms:created xsi:type="dcterms:W3CDTF">2024-02-14T04:46:00Z</dcterms:created>
  <dcterms:modified xsi:type="dcterms:W3CDTF">2024-02-14T04:50:00Z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0x01010005545BE6239C5B4190207737B6E212A6</vt:lpwstr>
  </property>
  <property fmtid="{D5CDD505-2E9C-101B-9397-08002B2CF9AE}" pid="3" name="MediaServiceImageTags">
    <vt:lpwstr/>
  </property>
</Properties>
</file>