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FA6069">
      <w:pPr>
        <w:pStyle w:val="Heading1"/>
        <w:spacing w:before="1080" w:after="1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76807B2C" w:rsidR="00A7453C" w:rsidRDefault="00474AD1" w:rsidP="00FA6069">
      <w:pPr>
        <w:pStyle w:val="Heading1"/>
        <w:spacing w:before="120"/>
        <w:rPr>
          <w:color w:val="003591" w:themeColor="text2"/>
          <w:sz w:val="36"/>
          <w:szCs w:val="36"/>
          <w:lang w:val="en-AU"/>
        </w:rPr>
      </w:pPr>
      <w:r>
        <w:rPr>
          <w:color w:val="003591" w:themeColor="text2"/>
          <w:sz w:val="36"/>
          <w:szCs w:val="36"/>
          <w:lang w:val="en-AU"/>
        </w:rPr>
        <w:t>Pharmacist</w:t>
      </w:r>
      <w:r w:rsidR="005811D1">
        <w:rPr>
          <w:color w:val="003591" w:themeColor="text2"/>
          <w:sz w:val="36"/>
          <w:szCs w:val="36"/>
          <w:lang w:val="en-AU"/>
        </w:rPr>
        <w:t xml:space="preserve"> </w:t>
      </w:r>
      <w:r w:rsidR="006D0788">
        <w:rPr>
          <w:color w:val="003591" w:themeColor="text2"/>
          <w:sz w:val="36"/>
          <w:szCs w:val="36"/>
          <w:lang w:val="en-AU"/>
        </w:rPr>
        <w:t>Casual</w:t>
      </w:r>
    </w:p>
    <w:tbl>
      <w:tblPr>
        <w:tblStyle w:val="TableGrid"/>
        <w:tblW w:w="10485" w:type="dxa"/>
        <w:tblInd w:w="5" w:type="dxa"/>
        <w:tblLook w:val="04A0" w:firstRow="1" w:lastRow="0" w:firstColumn="1" w:lastColumn="0" w:noHBand="0" w:noVBand="1"/>
      </w:tblPr>
      <w:tblGrid>
        <w:gridCol w:w="1696"/>
        <w:gridCol w:w="3261"/>
        <w:gridCol w:w="2127"/>
        <w:gridCol w:w="3401"/>
      </w:tblGrid>
      <w:tr w:rsidR="009E2F07" w14:paraId="03A73D40" w14:textId="77777777" w:rsidTr="00D04923">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261" w:type="dxa"/>
          </w:tcPr>
          <w:p w14:paraId="764CACC2" w14:textId="0C824DE7" w:rsidR="009E2F07" w:rsidRPr="009E2F07" w:rsidRDefault="00871E2F" w:rsidP="00D04923">
            <w:pPr>
              <w:pStyle w:val="BodyText"/>
              <w:spacing w:line="240" w:lineRule="auto"/>
              <w:ind w:right="144"/>
              <w:rPr>
                <w:color w:val="auto"/>
                <w:lang w:val="en-US"/>
              </w:rPr>
            </w:pPr>
            <w:r>
              <w:rPr>
                <w:color w:val="auto"/>
                <w:lang w:val="en-US"/>
              </w:rPr>
              <w:t>TV549555</w:t>
            </w:r>
          </w:p>
        </w:tc>
        <w:tc>
          <w:tcPr>
            <w:tcW w:w="2127"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081408EE" w14:textId="39FC8BCC" w:rsidR="009E2F07" w:rsidRPr="009E2F07" w:rsidRDefault="00474AD1" w:rsidP="00D04923">
            <w:pPr>
              <w:pStyle w:val="BodyText"/>
              <w:spacing w:line="240" w:lineRule="auto"/>
              <w:rPr>
                <w:color w:val="auto"/>
              </w:rPr>
            </w:pPr>
            <w:r>
              <w:rPr>
                <w:color w:val="auto"/>
              </w:rPr>
              <w:t>3046331</w:t>
            </w:r>
            <w:r w:rsidR="006D0788">
              <w:rPr>
                <w:color w:val="auto"/>
              </w:rPr>
              <w:t>1</w:t>
            </w:r>
          </w:p>
        </w:tc>
      </w:tr>
      <w:tr w:rsidR="009E2F07" w14:paraId="415DA31F" w14:textId="77777777" w:rsidTr="00D04923">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261" w:type="dxa"/>
          </w:tcPr>
          <w:p w14:paraId="18F4AAFF" w14:textId="43F32C25" w:rsidR="009E2F07" w:rsidRPr="009E2F07" w:rsidRDefault="00474AD1" w:rsidP="00D04923">
            <w:pPr>
              <w:pStyle w:val="BodyText"/>
              <w:spacing w:line="240" w:lineRule="auto"/>
              <w:ind w:right="144"/>
              <w:rPr>
                <w:color w:val="auto"/>
                <w:lang w:val="en-US"/>
              </w:rPr>
            </w:pPr>
            <w:r>
              <w:rPr>
                <w:color w:val="auto"/>
              </w:rPr>
              <w:t>Pharmacist</w:t>
            </w:r>
          </w:p>
        </w:tc>
        <w:tc>
          <w:tcPr>
            <w:tcW w:w="2127"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E2660D6" w14:textId="13C073F9" w:rsidR="009E2F07" w:rsidRPr="009E2F07" w:rsidRDefault="00474AD1" w:rsidP="00D04923">
            <w:pPr>
              <w:pStyle w:val="BodyText"/>
              <w:spacing w:line="240" w:lineRule="auto"/>
              <w:rPr>
                <w:color w:val="auto"/>
                <w:lang w:val="en-US"/>
              </w:rPr>
            </w:pPr>
            <w:r>
              <w:rPr>
                <w:color w:val="auto"/>
              </w:rPr>
              <w:t>HP3</w:t>
            </w:r>
          </w:p>
        </w:tc>
      </w:tr>
      <w:tr w:rsidR="009E2F07" w14:paraId="3F43B878" w14:textId="77777777" w:rsidTr="00D04923">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261" w:type="dxa"/>
          </w:tcPr>
          <w:p w14:paraId="186A08E8" w14:textId="54E34622" w:rsidR="009C07A8" w:rsidRPr="009E2F07" w:rsidRDefault="00BA071C" w:rsidP="00D04923">
            <w:pPr>
              <w:pStyle w:val="BodyText"/>
              <w:spacing w:line="240" w:lineRule="auto"/>
              <w:ind w:right="144"/>
              <w:rPr>
                <w:color w:val="auto"/>
                <w:lang w:val="en-US"/>
              </w:rPr>
            </w:pPr>
            <w:r>
              <w:rPr>
                <w:color w:val="auto"/>
                <w:lang w:val="en-US"/>
              </w:rPr>
              <w:t>Casual</w:t>
            </w:r>
            <w:r w:rsidR="00871E2F">
              <w:rPr>
                <w:color w:val="auto"/>
                <w:lang w:val="en-US"/>
              </w:rPr>
              <w:br/>
              <w:t>(Five positions available)</w:t>
            </w:r>
          </w:p>
        </w:tc>
        <w:tc>
          <w:tcPr>
            <w:tcW w:w="2127"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401" w:type="dxa"/>
          </w:tcPr>
          <w:p w14:paraId="74AA2B15" w14:textId="52D48CBA" w:rsidR="009E2F07" w:rsidRPr="009E2F07" w:rsidRDefault="00871E2F" w:rsidP="00D04923">
            <w:pPr>
              <w:pStyle w:val="BodyText"/>
              <w:spacing w:line="240" w:lineRule="auto"/>
              <w:rPr>
                <w:color w:val="auto"/>
                <w:lang w:val="en-US"/>
              </w:rPr>
            </w:pPr>
            <w:r>
              <w:rPr>
                <w:color w:val="auto"/>
                <w:lang w:val="en-US"/>
              </w:rPr>
              <w:t>$47.60-$72.16 per hour</w:t>
            </w:r>
            <w:r>
              <w:rPr>
                <w:color w:val="auto"/>
                <w:lang w:val="en-US"/>
              </w:rPr>
              <w:br/>
              <w:t>(casual rate)</w:t>
            </w:r>
          </w:p>
        </w:tc>
      </w:tr>
      <w:tr w:rsidR="007405A4" w14:paraId="12BD4723" w14:textId="77777777" w:rsidTr="00D04923">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261" w:type="dxa"/>
            <w:vMerge w:val="restart"/>
          </w:tcPr>
          <w:p w14:paraId="78329E15" w14:textId="51072D52" w:rsidR="007405A4" w:rsidRPr="009E2F07" w:rsidRDefault="00474AD1" w:rsidP="00D04923">
            <w:pPr>
              <w:pStyle w:val="BodyText"/>
              <w:spacing w:line="240" w:lineRule="auto"/>
              <w:ind w:right="144"/>
              <w:rPr>
                <w:color w:val="auto"/>
              </w:rPr>
            </w:pPr>
            <w:r>
              <w:rPr>
                <w:color w:val="auto"/>
              </w:rPr>
              <w:t>Pharmacy Department</w:t>
            </w:r>
            <w:r>
              <w:rPr>
                <w:color w:val="auto"/>
              </w:rPr>
              <w:br/>
              <w:t>Medical Service Group</w:t>
            </w:r>
          </w:p>
        </w:tc>
        <w:tc>
          <w:tcPr>
            <w:tcW w:w="2127"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74C70950" w14:textId="78149A05" w:rsidR="007405A4" w:rsidRPr="00C82A52" w:rsidRDefault="006D0788" w:rsidP="00D04923">
            <w:pPr>
              <w:spacing w:before="120" w:after="120"/>
              <w:rPr>
                <w:szCs w:val="20"/>
              </w:rPr>
            </w:pPr>
            <w:r>
              <w:t>Rosie James</w:t>
            </w:r>
          </w:p>
        </w:tc>
      </w:tr>
      <w:tr w:rsidR="007405A4" w14:paraId="66DD5732" w14:textId="77777777" w:rsidTr="00D04923">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261" w:type="dxa"/>
            <w:vMerge/>
          </w:tcPr>
          <w:p w14:paraId="0AF6AB29" w14:textId="77777777" w:rsidR="007405A4" w:rsidRPr="009E2F07" w:rsidRDefault="007405A4" w:rsidP="00D04923">
            <w:pPr>
              <w:pStyle w:val="BodyText"/>
              <w:spacing w:line="240" w:lineRule="auto"/>
              <w:ind w:right="144"/>
              <w:rPr>
                <w:color w:val="auto"/>
              </w:rPr>
            </w:pPr>
          </w:p>
        </w:tc>
        <w:tc>
          <w:tcPr>
            <w:tcW w:w="2127"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0BD78A32" w14:textId="75307EE1" w:rsidR="007405A4" w:rsidRPr="00C82A52" w:rsidRDefault="007405A4" w:rsidP="00D04923">
            <w:pPr>
              <w:spacing w:before="120" w:after="120"/>
              <w:rPr>
                <w:szCs w:val="20"/>
              </w:rPr>
            </w:pPr>
            <w:r>
              <w:rPr>
                <w:szCs w:val="20"/>
              </w:rPr>
              <w:t xml:space="preserve">07 4433 </w:t>
            </w:r>
            <w:r w:rsidR="006D0788">
              <w:t>2827</w:t>
            </w:r>
          </w:p>
        </w:tc>
      </w:tr>
      <w:tr w:rsidR="009E2F07" w14:paraId="02A2AEEB" w14:textId="77777777" w:rsidTr="00D04923">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261" w:type="dxa"/>
          </w:tcPr>
          <w:p w14:paraId="11C7F269" w14:textId="5EF28443" w:rsidR="009E2F07" w:rsidRPr="009E2F07" w:rsidRDefault="00474AD1" w:rsidP="00D04923">
            <w:pPr>
              <w:pStyle w:val="BodyText"/>
              <w:spacing w:line="240" w:lineRule="auto"/>
              <w:ind w:right="144"/>
              <w:rPr>
                <w:color w:val="auto"/>
                <w:lang w:val="en-US"/>
              </w:rPr>
            </w:pPr>
            <w:r>
              <w:rPr>
                <w:color w:val="auto"/>
              </w:rPr>
              <w:t>Townsville University Hospital</w:t>
            </w:r>
          </w:p>
        </w:tc>
        <w:tc>
          <w:tcPr>
            <w:tcW w:w="2127"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C7A15C9" w14:textId="73B06422" w:rsidR="00CC6337" w:rsidRPr="009E2F07" w:rsidRDefault="000B7A6F" w:rsidP="00410948">
            <w:pPr>
              <w:pStyle w:val="BodyText"/>
              <w:spacing w:line="240" w:lineRule="auto"/>
              <w:rPr>
                <w:color w:val="auto"/>
                <w:lang w:val="en-US"/>
              </w:rPr>
            </w:pPr>
            <w:r>
              <w:rPr>
                <w:color w:val="auto"/>
              </w:rPr>
              <w:t>Tuesday 11</w:t>
            </w:r>
            <w:r w:rsidR="00871E2F">
              <w:rPr>
                <w:color w:val="auto"/>
              </w:rPr>
              <w:t xml:space="preserve"> March 202</w:t>
            </w:r>
            <w:r>
              <w:rPr>
                <w:color w:val="auto"/>
              </w:rPr>
              <w:t>5</w:t>
            </w:r>
          </w:p>
        </w:tc>
      </w:tr>
    </w:tbl>
    <w:p w14:paraId="361D1A41" w14:textId="54F3A58A" w:rsidR="00B30147" w:rsidRPr="00CC6337" w:rsidRDefault="00B30147" w:rsidP="00CC6337">
      <w:pPr>
        <w:pStyle w:val="Heading1"/>
        <w:spacing w:before="240" w:after="120"/>
        <w:rPr>
          <w:sz w:val="24"/>
          <w:szCs w:val="24"/>
        </w:rPr>
      </w:pPr>
      <w:r w:rsidRPr="00CC6337">
        <w:rPr>
          <w:sz w:val="24"/>
          <w:szCs w:val="24"/>
        </w:rPr>
        <w:t xml:space="preserve">The </w:t>
      </w:r>
      <w:r w:rsidR="00DC7A8E">
        <w:rPr>
          <w:sz w:val="24"/>
          <w:szCs w:val="24"/>
        </w:rPr>
        <w:t>o</w:t>
      </w:r>
      <w:r w:rsidRPr="00CC6337">
        <w:rPr>
          <w:sz w:val="24"/>
          <w:szCs w:val="24"/>
        </w:rPr>
        <w:t>pportunity</w:t>
      </w:r>
    </w:p>
    <w:p w14:paraId="0F21007C" w14:textId="62F15750" w:rsidR="00AE6B59" w:rsidRDefault="00AE6B59" w:rsidP="00474AD1">
      <w:pPr>
        <w:spacing w:before="120" w:after="120"/>
        <w:rPr>
          <w:szCs w:val="20"/>
        </w:rPr>
      </w:pPr>
      <w:r>
        <w:rPr>
          <w:szCs w:val="20"/>
        </w:rPr>
        <w:t xml:space="preserve">Deliver professional, client focused pharmacy services and leadership within an evidence-based quality and multidisciplinary health care environment. This includes training, education, and research activities to the services by the Pharmacy Department. </w:t>
      </w:r>
    </w:p>
    <w:p w14:paraId="001C4B13" w14:textId="77777777" w:rsidR="00AE6B59" w:rsidRPr="006733CB" w:rsidRDefault="00AE6B59" w:rsidP="00474AD1">
      <w:pPr>
        <w:spacing w:before="120" w:after="120"/>
        <w:rPr>
          <w:szCs w:val="20"/>
        </w:rPr>
      </w:pPr>
      <w:r>
        <w:rPr>
          <w:szCs w:val="20"/>
        </w:rPr>
        <w:t xml:space="preserve">Promote safe, </w:t>
      </w:r>
      <w:proofErr w:type="gramStart"/>
      <w:r>
        <w:rPr>
          <w:szCs w:val="20"/>
        </w:rPr>
        <w:t>effective</w:t>
      </w:r>
      <w:proofErr w:type="gramEnd"/>
      <w:r>
        <w:rPr>
          <w:szCs w:val="20"/>
        </w:rPr>
        <w:t xml:space="preserve"> and efficient use of medicines in keeping with the department’s goals and objectives and mission statements for the Townsville Hospital and Health Service.</w:t>
      </w:r>
    </w:p>
    <w:p w14:paraId="44D3CDAA" w14:textId="77777777" w:rsidR="00AE6B59" w:rsidRDefault="00AE6B59" w:rsidP="00AE6B59">
      <w:pPr>
        <w:pStyle w:val="Heading1"/>
        <w:spacing w:before="240" w:after="120"/>
        <w:rPr>
          <w:sz w:val="24"/>
          <w:szCs w:val="24"/>
        </w:rPr>
      </w:pPr>
      <w:r w:rsidRPr="001B5583">
        <w:rPr>
          <w:sz w:val="24"/>
          <w:szCs w:val="24"/>
        </w:rPr>
        <w:t>Townsville University</w:t>
      </w:r>
      <w:r>
        <w:rPr>
          <w:sz w:val="24"/>
          <w:szCs w:val="24"/>
        </w:rPr>
        <w:t xml:space="preserve"> Hospital</w:t>
      </w:r>
      <w:r w:rsidRPr="001B5583">
        <w:rPr>
          <w:sz w:val="24"/>
          <w:szCs w:val="24"/>
        </w:rPr>
        <w:t xml:space="preserve"> Pharmacy</w:t>
      </w:r>
      <w:r>
        <w:rPr>
          <w:sz w:val="24"/>
          <w:szCs w:val="24"/>
        </w:rPr>
        <w:t xml:space="preserve">: </w:t>
      </w:r>
    </w:p>
    <w:p w14:paraId="0C85C4CF" w14:textId="77777777" w:rsidR="00AE6B59" w:rsidRPr="001B5583" w:rsidRDefault="00AE6B59" w:rsidP="00AE6B59">
      <w:pPr>
        <w:pStyle w:val="IntroParagraph"/>
      </w:pPr>
      <w:r w:rsidRPr="001B5583">
        <w:t>“</w:t>
      </w:r>
      <w:r w:rsidRPr="001B5583">
        <w:rPr>
          <w:bdr w:val="none" w:sz="0" w:space="0" w:color="auto" w:frame="1"/>
          <w:shd w:val="clear" w:color="auto" w:fill="FFFFFF"/>
        </w:rPr>
        <w:t>LEADING THE SAFE AND QUALITY USE OF MEDICINES”</w:t>
      </w:r>
    </w:p>
    <w:p w14:paraId="02DBE8B5" w14:textId="77777777" w:rsidR="00AE6B59" w:rsidRDefault="00AE6B59" w:rsidP="00AE6B59">
      <w:pPr>
        <w:spacing w:before="120" w:after="120"/>
        <w:rPr>
          <w:szCs w:val="20"/>
        </w:rPr>
      </w:pPr>
      <w:r>
        <w:rPr>
          <w:szCs w:val="20"/>
        </w:rPr>
        <w:t xml:space="preserve">The aim of the Pharmacy service is to provide responsible, safe, </w:t>
      </w:r>
      <w:proofErr w:type="gramStart"/>
      <w:r>
        <w:rPr>
          <w:szCs w:val="20"/>
        </w:rPr>
        <w:t>effective</w:t>
      </w:r>
      <w:proofErr w:type="gramEnd"/>
      <w:r>
        <w:rPr>
          <w:szCs w:val="20"/>
        </w:rPr>
        <w:t xml:space="preserve"> and economical distribution and use of medications throughout the hospital. </w:t>
      </w:r>
    </w:p>
    <w:p w14:paraId="497B2160" w14:textId="77777777" w:rsidR="00AE6B59" w:rsidRDefault="00AE6B59" w:rsidP="00AE6B59">
      <w:pPr>
        <w:spacing w:before="120" w:after="120"/>
        <w:rPr>
          <w:szCs w:val="20"/>
        </w:rPr>
      </w:pPr>
      <w:r>
        <w:rPr>
          <w:szCs w:val="20"/>
        </w:rPr>
        <w:t xml:space="preserve">Townsville University Hospital Pharmacy has 2 locations: The ground floor Main Pharmacy is located to the left, inside the main entrance to the hospital. This is where discharge, out-patients’ prescriptions are presented and collected after dispensing. This location is open on weekends and public holidays for inpatient service only. The Pharmacy Distribution Centre is located on the first floor near medical records and is only accessible to staff for collection of ward imprest items or inpatient dispensed medications. </w:t>
      </w:r>
    </w:p>
    <w:p w14:paraId="13BC2D82" w14:textId="77777777" w:rsidR="00AE6B59" w:rsidRDefault="00AE6B59" w:rsidP="00AE6B59">
      <w:pPr>
        <w:spacing w:before="120" w:after="120"/>
        <w:rPr>
          <w:szCs w:val="20"/>
        </w:rPr>
      </w:pPr>
      <w:r>
        <w:rPr>
          <w:szCs w:val="20"/>
        </w:rPr>
        <w:t xml:space="preserve">The following services are provided by Townsville Hospital Pharmacy: </w:t>
      </w:r>
    </w:p>
    <w:p w14:paraId="352A7F3D" w14:textId="77777777" w:rsidR="00AE6B59" w:rsidRDefault="00AE6B59" w:rsidP="00474AD1">
      <w:pPr>
        <w:pStyle w:val="Default"/>
        <w:numPr>
          <w:ilvl w:val="0"/>
          <w:numId w:val="20"/>
        </w:numPr>
        <w:spacing w:before="120" w:after="120" w:line="276" w:lineRule="auto"/>
        <w:ind w:left="357" w:hanging="357"/>
        <w:rPr>
          <w:sz w:val="20"/>
          <w:szCs w:val="20"/>
        </w:rPr>
      </w:pPr>
      <w:r>
        <w:rPr>
          <w:sz w:val="20"/>
          <w:szCs w:val="20"/>
        </w:rPr>
        <w:t xml:space="preserve">Ordering and stock control of medications across the THHS. Including maintenance of ward medications in automated dispensing cabinets (Pyxis) and medication cupboards, and non-imprest items. </w:t>
      </w:r>
    </w:p>
    <w:p w14:paraId="3A6004AD" w14:textId="77777777" w:rsidR="00AE6B59" w:rsidRDefault="00AE6B59" w:rsidP="00474AD1">
      <w:pPr>
        <w:pStyle w:val="Default"/>
        <w:numPr>
          <w:ilvl w:val="0"/>
          <w:numId w:val="20"/>
        </w:numPr>
        <w:spacing w:before="120" w:after="120" w:line="276" w:lineRule="auto"/>
        <w:ind w:left="357" w:hanging="357"/>
        <w:rPr>
          <w:sz w:val="20"/>
          <w:szCs w:val="20"/>
        </w:rPr>
      </w:pPr>
      <w:r>
        <w:rPr>
          <w:sz w:val="20"/>
          <w:szCs w:val="20"/>
        </w:rPr>
        <w:t xml:space="preserve">Clinical medication review service to inpatient wards and emergency department patients. </w:t>
      </w:r>
    </w:p>
    <w:p w14:paraId="10A03F8F" w14:textId="77777777" w:rsidR="00AE6B59" w:rsidRDefault="00AE6B59" w:rsidP="00474AD1">
      <w:pPr>
        <w:pStyle w:val="Default"/>
        <w:numPr>
          <w:ilvl w:val="0"/>
          <w:numId w:val="20"/>
        </w:numPr>
        <w:spacing w:before="120" w:after="120" w:line="276" w:lineRule="auto"/>
        <w:ind w:left="357" w:hanging="357"/>
        <w:rPr>
          <w:sz w:val="20"/>
          <w:szCs w:val="20"/>
        </w:rPr>
      </w:pPr>
      <w:r>
        <w:rPr>
          <w:sz w:val="20"/>
          <w:szCs w:val="20"/>
        </w:rPr>
        <w:t xml:space="preserve">Facilitating discharge prescriptions to community pharmacy or dispensary for supply. </w:t>
      </w:r>
    </w:p>
    <w:p w14:paraId="6EB31B33" w14:textId="77777777" w:rsidR="00AE6B59" w:rsidRDefault="00AE6B59" w:rsidP="00474AD1">
      <w:pPr>
        <w:pStyle w:val="Default"/>
        <w:numPr>
          <w:ilvl w:val="0"/>
          <w:numId w:val="20"/>
        </w:numPr>
        <w:spacing w:before="120" w:after="120" w:line="276" w:lineRule="auto"/>
        <w:ind w:left="357" w:hanging="357"/>
        <w:rPr>
          <w:sz w:val="20"/>
          <w:szCs w:val="20"/>
        </w:rPr>
      </w:pPr>
      <w:r>
        <w:rPr>
          <w:sz w:val="20"/>
          <w:szCs w:val="20"/>
        </w:rPr>
        <w:t xml:space="preserve">Triage and dispensing of outpatient prescriptions. </w:t>
      </w:r>
    </w:p>
    <w:p w14:paraId="682773F4" w14:textId="77777777" w:rsidR="00AE6B59" w:rsidRDefault="00AE6B59" w:rsidP="00474AD1">
      <w:pPr>
        <w:pStyle w:val="Default"/>
        <w:numPr>
          <w:ilvl w:val="0"/>
          <w:numId w:val="20"/>
        </w:numPr>
        <w:spacing w:before="120" w:after="120" w:line="276" w:lineRule="auto"/>
        <w:ind w:left="357" w:hanging="357"/>
        <w:rPr>
          <w:sz w:val="20"/>
          <w:szCs w:val="20"/>
        </w:rPr>
      </w:pPr>
      <w:r>
        <w:rPr>
          <w:sz w:val="20"/>
          <w:szCs w:val="20"/>
        </w:rPr>
        <w:t xml:space="preserve">Medication information and Adverse Drug Reaction (ADR) reporting in relation to THHS patients and staff. </w:t>
      </w:r>
    </w:p>
    <w:p w14:paraId="4C983E5E" w14:textId="77777777" w:rsidR="00AE6B59" w:rsidRDefault="00AE6B59" w:rsidP="00474AD1">
      <w:pPr>
        <w:pStyle w:val="Default"/>
        <w:numPr>
          <w:ilvl w:val="0"/>
          <w:numId w:val="20"/>
        </w:numPr>
        <w:spacing w:before="120" w:after="120" w:line="276" w:lineRule="auto"/>
        <w:ind w:left="357" w:hanging="357"/>
        <w:rPr>
          <w:sz w:val="20"/>
          <w:szCs w:val="20"/>
        </w:rPr>
      </w:pPr>
      <w:r>
        <w:rPr>
          <w:sz w:val="20"/>
          <w:szCs w:val="20"/>
        </w:rPr>
        <w:t xml:space="preserve">Preparation of specialized sterile pharmaceuticals for Oncology, Ophthalmology and Neonatology. </w:t>
      </w:r>
    </w:p>
    <w:p w14:paraId="079D771D" w14:textId="77777777" w:rsidR="00AE6B59" w:rsidRDefault="00AE6B59" w:rsidP="00474AD1">
      <w:pPr>
        <w:pStyle w:val="BodyText"/>
        <w:numPr>
          <w:ilvl w:val="0"/>
          <w:numId w:val="20"/>
        </w:numPr>
        <w:spacing w:line="276" w:lineRule="auto"/>
        <w:ind w:left="357" w:hanging="357"/>
        <w:rPr>
          <w:szCs w:val="20"/>
        </w:rPr>
      </w:pPr>
      <w:r>
        <w:rPr>
          <w:szCs w:val="20"/>
        </w:rPr>
        <w:t xml:space="preserve">International, </w:t>
      </w:r>
      <w:proofErr w:type="gramStart"/>
      <w:r>
        <w:rPr>
          <w:szCs w:val="20"/>
        </w:rPr>
        <w:t>national</w:t>
      </w:r>
      <w:proofErr w:type="gramEnd"/>
      <w:r>
        <w:rPr>
          <w:szCs w:val="20"/>
        </w:rPr>
        <w:t xml:space="preserve"> and local investigator Clinical Trials.</w:t>
      </w:r>
    </w:p>
    <w:p w14:paraId="3EEF5AA4" w14:textId="77777777" w:rsidR="00AE6B59" w:rsidRPr="00F618F8" w:rsidRDefault="00AE6B59" w:rsidP="00474AD1">
      <w:pPr>
        <w:pStyle w:val="ListParagraph0"/>
        <w:numPr>
          <w:ilvl w:val="0"/>
          <w:numId w:val="20"/>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Contribute to optimizing antibiotic use Service wide with a specialized Antimicrobial Stewardship (AMS) pharmacist. </w:t>
      </w:r>
    </w:p>
    <w:p w14:paraId="7F752DE0" w14:textId="77777777" w:rsidR="00AE6B59" w:rsidRPr="00F618F8" w:rsidRDefault="00AE6B59" w:rsidP="00474AD1">
      <w:pPr>
        <w:pStyle w:val="ListParagraph0"/>
        <w:numPr>
          <w:ilvl w:val="0"/>
          <w:numId w:val="20"/>
        </w:numPr>
        <w:autoSpaceDE w:val="0"/>
        <w:autoSpaceDN w:val="0"/>
        <w:adjustRightInd w:val="0"/>
        <w:spacing w:line="276" w:lineRule="auto"/>
        <w:ind w:left="357" w:hanging="357"/>
        <w:rPr>
          <w:rFonts w:cs="Arial"/>
          <w:szCs w:val="20"/>
          <w:lang w:eastAsia="en-AU"/>
        </w:rPr>
      </w:pPr>
      <w:r w:rsidRPr="00F618F8">
        <w:rPr>
          <w:rFonts w:cs="Arial"/>
          <w:szCs w:val="20"/>
          <w:lang w:eastAsia="en-AU"/>
        </w:rPr>
        <w:lastRenderedPageBreak/>
        <w:t>Support and facilitate specialized health initiatives including the Life Saving Drugs Program, Access programs and Botulinum toxin supply.</w:t>
      </w:r>
    </w:p>
    <w:p w14:paraId="4D6DE495" w14:textId="712AA7E3" w:rsidR="00AE6B59" w:rsidRPr="00F618F8" w:rsidRDefault="00AE6B59" w:rsidP="00474AD1">
      <w:pPr>
        <w:pStyle w:val="ListParagraph0"/>
        <w:numPr>
          <w:ilvl w:val="0"/>
          <w:numId w:val="20"/>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Support </w:t>
      </w:r>
      <w:r w:rsidR="00D80AF7">
        <w:rPr>
          <w:rFonts w:cs="Arial"/>
          <w:szCs w:val="20"/>
          <w:lang w:eastAsia="en-AU"/>
        </w:rPr>
        <w:t xml:space="preserve">the </w:t>
      </w:r>
      <w:r w:rsidRPr="00F618F8">
        <w:rPr>
          <w:rFonts w:cs="Arial"/>
          <w:szCs w:val="20"/>
          <w:lang w:eastAsia="en-AU"/>
        </w:rPr>
        <w:t xml:space="preserve">ATODS </w:t>
      </w:r>
      <w:r w:rsidR="00D80AF7">
        <w:rPr>
          <w:rFonts w:cs="Arial"/>
          <w:szCs w:val="20"/>
          <w:lang w:eastAsia="en-AU"/>
        </w:rPr>
        <w:t>clients whilst</w:t>
      </w:r>
      <w:r w:rsidRPr="00F618F8">
        <w:rPr>
          <w:rFonts w:cs="Arial"/>
          <w:szCs w:val="20"/>
          <w:lang w:eastAsia="en-AU"/>
        </w:rPr>
        <w:t xml:space="preserve"> inpatients. </w:t>
      </w:r>
    </w:p>
    <w:p w14:paraId="0BE70BDD" w14:textId="77777777" w:rsidR="00AE6B59" w:rsidRPr="00F618F8" w:rsidRDefault="00AE6B59" w:rsidP="00474AD1">
      <w:pPr>
        <w:pStyle w:val="ListParagraph0"/>
        <w:numPr>
          <w:ilvl w:val="0"/>
          <w:numId w:val="20"/>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Pharmacist liaison with Offender Health including adult and adolescent services for compliance in medication management. </w:t>
      </w:r>
    </w:p>
    <w:p w14:paraId="39BEC7B2" w14:textId="77777777" w:rsidR="00AE6B59" w:rsidRPr="00F618F8" w:rsidRDefault="00AE6B59" w:rsidP="00474AD1">
      <w:pPr>
        <w:pStyle w:val="ListParagraph0"/>
        <w:numPr>
          <w:ilvl w:val="0"/>
          <w:numId w:val="20"/>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Support for all inpatient facilities within the health service particularly one pharmacist dispensaries at Ayr, Charters Towers, </w:t>
      </w:r>
      <w:proofErr w:type="gramStart"/>
      <w:r w:rsidRPr="00F618F8">
        <w:rPr>
          <w:rFonts w:cs="Arial"/>
          <w:szCs w:val="20"/>
          <w:lang w:eastAsia="en-AU"/>
        </w:rPr>
        <w:t>Ingham</w:t>
      </w:r>
      <w:proofErr w:type="gramEnd"/>
      <w:r w:rsidRPr="00F618F8">
        <w:rPr>
          <w:rFonts w:cs="Arial"/>
          <w:szCs w:val="20"/>
          <w:lang w:eastAsia="en-AU"/>
        </w:rPr>
        <w:t xml:space="preserve"> and Palm Island. </w:t>
      </w:r>
    </w:p>
    <w:p w14:paraId="66FFCA28" w14:textId="77777777" w:rsidR="00AE6B59" w:rsidRPr="00F618F8" w:rsidRDefault="00AE6B59" w:rsidP="00474AD1">
      <w:pPr>
        <w:pStyle w:val="ListParagraph0"/>
        <w:numPr>
          <w:ilvl w:val="0"/>
          <w:numId w:val="20"/>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Review procedures and protocols for other areas where medication is part of the procedure. </w:t>
      </w:r>
    </w:p>
    <w:p w14:paraId="7DFB6035" w14:textId="77777777" w:rsidR="00AE6B59" w:rsidRPr="00F618F8" w:rsidRDefault="00AE6B59" w:rsidP="00474AD1">
      <w:pPr>
        <w:pStyle w:val="ListParagraph0"/>
        <w:numPr>
          <w:ilvl w:val="0"/>
          <w:numId w:val="20"/>
        </w:numPr>
        <w:autoSpaceDE w:val="0"/>
        <w:autoSpaceDN w:val="0"/>
        <w:adjustRightInd w:val="0"/>
        <w:spacing w:line="276" w:lineRule="auto"/>
        <w:ind w:left="357" w:hanging="357"/>
        <w:rPr>
          <w:rFonts w:cs="Arial"/>
          <w:szCs w:val="20"/>
          <w:lang w:eastAsia="en-AU"/>
        </w:rPr>
      </w:pPr>
      <w:bookmarkStart w:id="2" w:name="_Hlk84919435"/>
      <w:r w:rsidRPr="00F618F8">
        <w:rPr>
          <w:rFonts w:cs="Arial"/>
          <w:szCs w:val="20"/>
          <w:lang w:eastAsia="en-AU"/>
        </w:rPr>
        <w:t xml:space="preserve">Host pharmacy student placements, including honours projects, particularly from James Cook University (JCU). </w:t>
      </w:r>
      <w:bookmarkEnd w:id="2"/>
    </w:p>
    <w:p w14:paraId="2FA6BEE0" w14:textId="77777777" w:rsidR="00AE6B59" w:rsidRPr="00F618F8" w:rsidRDefault="00AE6B59" w:rsidP="00474AD1">
      <w:pPr>
        <w:pStyle w:val="ListParagraph0"/>
        <w:numPr>
          <w:ilvl w:val="0"/>
          <w:numId w:val="20"/>
        </w:numPr>
        <w:autoSpaceDE w:val="0"/>
        <w:autoSpaceDN w:val="0"/>
        <w:adjustRightInd w:val="0"/>
        <w:spacing w:line="276" w:lineRule="auto"/>
        <w:ind w:left="357" w:hanging="357"/>
        <w:rPr>
          <w:rFonts w:cs="Arial"/>
          <w:szCs w:val="20"/>
          <w:lang w:eastAsia="en-AU"/>
        </w:rPr>
      </w:pPr>
      <w:bookmarkStart w:id="3" w:name="_Hlk84919446"/>
      <w:r w:rsidRPr="00F618F8">
        <w:rPr>
          <w:rFonts w:cs="Arial"/>
          <w:szCs w:val="20"/>
          <w:lang w:eastAsia="en-AU"/>
        </w:rPr>
        <w:t>Training of Intern Pharmacists and Resident Pharmacists and support for post-graduate student studies.</w:t>
      </w:r>
      <w:bookmarkEnd w:id="3"/>
    </w:p>
    <w:p w14:paraId="2AA63CE1" w14:textId="77777777" w:rsidR="00026DE9" w:rsidRPr="00CC6337" w:rsidRDefault="00026DE9" w:rsidP="00CC6337">
      <w:pPr>
        <w:pStyle w:val="Heading1"/>
        <w:spacing w:before="240" w:after="120"/>
        <w:rPr>
          <w:sz w:val="24"/>
          <w:szCs w:val="24"/>
        </w:rPr>
      </w:pPr>
      <w:r w:rsidRPr="00D04923">
        <w:rPr>
          <w:sz w:val="24"/>
          <w:szCs w:val="24"/>
        </w:rPr>
        <w:t>Reporting line, staffing, and budget responsibilities</w:t>
      </w:r>
      <w:bookmarkStart w:id="4" w:name="Text22"/>
    </w:p>
    <w:p w14:paraId="5C114715" w14:textId="033D522E" w:rsidR="00F340CE" w:rsidRPr="00287A4B" w:rsidRDefault="00F340CE" w:rsidP="00F340CE">
      <w:pPr>
        <w:numPr>
          <w:ilvl w:val="0"/>
          <w:numId w:val="12"/>
        </w:numPr>
        <w:tabs>
          <w:tab w:val="num" w:pos="720"/>
        </w:tabs>
        <w:spacing w:before="120" w:after="120"/>
        <w:rPr>
          <w:rFonts w:cs="Arial"/>
          <w:szCs w:val="20"/>
        </w:rPr>
      </w:pPr>
      <w:bookmarkStart w:id="5" w:name="Text17"/>
      <w:bookmarkEnd w:id="4"/>
      <w:r>
        <w:rPr>
          <w:szCs w:val="20"/>
        </w:rPr>
        <w:t>This position reports to an Advanced Pharmacist and is accountable for the key responsibilities outlined in `The role’ section.</w:t>
      </w:r>
    </w:p>
    <w:bookmarkEnd w:id="5"/>
    <w:p w14:paraId="7A35A13F" w14:textId="77777777" w:rsidR="009E2F07" w:rsidRPr="00CC6337" w:rsidRDefault="00382B6C" w:rsidP="00CC6337">
      <w:pPr>
        <w:pStyle w:val="Heading1"/>
        <w:spacing w:before="240" w:after="120"/>
        <w:rPr>
          <w:sz w:val="24"/>
          <w:szCs w:val="24"/>
        </w:rPr>
      </w:pPr>
      <w:r w:rsidRPr="009E2F07">
        <w:rPr>
          <w:sz w:val="24"/>
          <w:szCs w:val="24"/>
        </w:rPr>
        <w:t>The role</w:t>
      </w:r>
      <w:bookmarkStart w:id="6" w:name="Text12"/>
    </w:p>
    <w:p w14:paraId="7677F61A" w14:textId="77777777" w:rsidR="00382B6C" w:rsidRPr="009E2F07" w:rsidRDefault="00AA751D" w:rsidP="00D04923">
      <w:pPr>
        <w:spacing w:before="240" w:after="120"/>
        <w:rPr>
          <w:rFonts w:cs="Arial"/>
          <w:szCs w:val="20"/>
        </w:rPr>
      </w:pPr>
      <w:r w:rsidRPr="009E2F07">
        <w:rPr>
          <w:i/>
          <w:color w:val="00A1DE"/>
          <w:szCs w:val="20"/>
        </w:rPr>
        <w:t>Responsibilities:</w:t>
      </w:r>
    </w:p>
    <w:bookmarkEnd w:id="6"/>
    <w:p w14:paraId="0250C62D" w14:textId="77777777" w:rsidR="00AE6B59" w:rsidRPr="00F618F8" w:rsidRDefault="00AE6B59" w:rsidP="00474AD1">
      <w:pPr>
        <w:pStyle w:val="ListParagraph0"/>
        <w:numPr>
          <w:ilvl w:val="0"/>
          <w:numId w:val="12"/>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Deliver evidence-based clinical pharmacy services within a multidisciplinary team in accordance with statutory regulations, national standards of practice and governing professional organisations. </w:t>
      </w:r>
    </w:p>
    <w:p w14:paraId="6FCF67FD" w14:textId="77777777" w:rsidR="00AE6B59" w:rsidRPr="00F618F8" w:rsidRDefault="00AE6B59" w:rsidP="00474AD1">
      <w:pPr>
        <w:pStyle w:val="ListParagraph0"/>
        <w:numPr>
          <w:ilvl w:val="0"/>
          <w:numId w:val="12"/>
        </w:numPr>
        <w:autoSpaceDE w:val="0"/>
        <w:autoSpaceDN w:val="0"/>
        <w:adjustRightInd w:val="0"/>
        <w:ind w:left="357" w:hanging="357"/>
        <w:rPr>
          <w:rFonts w:cs="Arial"/>
          <w:b/>
          <w:bCs/>
          <w:szCs w:val="20"/>
          <w:lang w:eastAsia="en-AU"/>
        </w:rPr>
      </w:pPr>
      <w:r w:rsidRPr="00F618F8">
        <w:rPr>
          <w:rFonts w:cs="Arial"/>
          <w:b/>
          <w:bCs/>
          <w:szCs w:val="20"/>
          <w:lang w:eastAsia="en-AU"/>
        </w:rPr>
        <w:t xml:space="preserve">Provide pharmacy services across 7-days (Monday to Sunday) to designated work units as rostered. </w:t>
      </w:r>
    </w:p>
    <w:p w14:paraId="02D5453C" w14:textId="77777777" w:rsidR="00AE6B59" w:rsidRPr="00F618F8" w:rsidRDefault="00AE6B59" w:rsidP="00474AD1">
      <w:pPr>
        <w:pStyle w:val="ListParagraph0"/>
        <w:numPr>
          <w:ilvl w:val="0"/>
          <w:numId w:val="12"/>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Promote patient safety by providing pharmaceutical care for patients through the completion of medication histories, clinical pharmaceutical </w:t>
      </w:r>
      <w:proofErr w:type="gramStart"/>
      <w:r w:rsidRPr="00F618F8">
        <w:rPr>
          <w:rFonts w:cs="Arial"/>
          <w:szCs w:val="20"/>
          <w:lang w:eastAsia="en-AU"/>
        </w:rPr>
        <w:t>review</w:t>
      </w:r>
      <w:proofErr w:type="gramEnd"/>
      <w:r w:rsidRPr="00F618F8">
        <w:rPr>
          <w:rFonts w:cs="Arial"/>
          <w:szCs w:val="20"/>
          <w:lang w:eastAsia="en-AU"/>
        </w:rPr>
        <w:t xml:space="preserve"> and medication management plans. </w:t>
      </w:r>
    </w:p>
    <w:p w14:paraId="4ACDBDA0" w14:textId="77777777" w:rsidR="00AE6B59" w:rsidRPr="00F618F8" w:rsidRDefault="00AE6B59" w:rsidP="00474AD1">
      <w:pPr>
        <w:pStyle w:val="ListParagraph0"/>
        <w:numPr>
          <w:ilvl w:val="0"/>
          <w:numId w:val="12"/>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Provide general pharmaceutical and/or clinical pharmacy advice to professional and operational supervisors, relevant service managers and other stakeholders regarding service delivery by discussion and reporting. </w:t>
      </w:r>
    </w:p>
    <w:p w14:paraId="51F0911F" w14:textId="77777777" w:rsidR="00AE6B59" w:rsidRPr="00F618F8" w:rsidRDefault="00AE6B59" w:rsidP="00474AD1">
      <w:pPr>
        <w:pStyle w:val="ListParagraph0"/>
        <w:numPr>
          <w:ilvl w:val="0"/>
          <w:numId w:val="12"/>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Work collaboratively with the multidisciplinary team, document and report adverse drug reactions, advise on therapeutic drug </w:t>
      </w:r>
      <w:proofErr w:type="gramStart"/>
      <w:r w:rsidRPr="00F618F8">
        <w:rPr>
          <w:rFonts w:cs="Arial"/>
          <w:szCs w:val="20"/>
          <w:lang w:eastAsia="en-AU"/>
        </w:rPr>
        <w:t>monitoring</w:t>
      </w:r>
      <w:proofErr w:type="gramEnd"/>
      <w:r w:rsidRPr="00F618F8">
        <w:rPr>
          <w:rFonts w:cs="Arial"/>
          <w:szCs w:val="20"/>
          <w:lang w:eastAsia="en-AU"/>
        </w:rPr>
        <w:t xml:space="preserve"> and apply the APAC (Australian Pharmaceutical Advisory Council) Continuum of Care Guidelines. </w:t>
      </w:r>
    </w:p>
    <w:p w14:paraId="14FC359F" w14:textId="77777777" w:rsidR="00AE6B59" w:rsidRPr="00F618F8" w:rsidRDefault="00AE6B59" w:rsidP="00474AD1">
      <w:pPr>
        <w:pStyle w:val="ListParagraph0"/>
        <w:numPr>
          <w:ilvl w:val="0"/>
          <w:numId w:val="12"/>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Demonstrate effective communication, interpersonal and time management skills evidenced by effectively prioritising workload and provision of professional advice to patients, carers, health professionals and key stakeholders. </w:t>
      </w:r>
    </w:p>
    <w:p w14:paraId="2AA1C2B2" w14:textId="77777777" w:rsidR="00AE6B59" w:rsidRPr="00F618F8" w:rsidRDefault="00AE6B59" w:rsidP="00474AD1">
      <w:pPr>
        <w:pStyle w:val="ListParagraph0"/>
        <w:numPr>
          <w:ilvl w:val="0"/>
          <w:numId w:val="12"/>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Provide supervision to pharmacy staff and pharmacy students adhering to statutory regulations, professional standards and applying knowledge and clinical skills. </w:t>
      </w:r>
    </w:p>
    <w:p w14:paraId="1AB6E768" w14:textId="77777777" w:rsidR="00AE6B59" w:rsidRPr="00F618F8" w:rsidRDefault="00AE6B59" w:rsidP="00474AD1">
      <w:pPr>
        <w:pStyle w:val="ListParagraph0"/>
        <w:numPr>
          <w:ilvl w:val="0"/>
          <w:numId w:val="12"/>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Participate in continuing professional development activities and contribute to professional knowledge, </w:t>
      </w:r>
      <w:proofErr w:type="gramStart"/>
      <w:r w:rsidRPr="00F618F8">
        <w:rPr>
          <w:rFonts w:cs="Arial"/>
          <w:szCs w:val="20"/>
          <w:lang w:eastAsia="en-AU"/>
        </w:rPr>
        <w:t>expertise</w:t>
      </w:r>
      <w:proofErr w:type="gramEnd"/>
      <w:r w:rsidRPr="00F618F8">
        <w:rPr>
          <w:rFonts w:cs="Arial"/>
          <w:szCs w:val="20"/>
          <w:lang w:eastAsia="en-AU"/>
        </w:rPr>
        <w:t xml:space="preserve"> and skills of the multidisciplinary and pharmacy team through research, publications and presentations. </w:t>
      </w:r>
    </w:p>
    <w:p w14:paraId="73294C56" w14:textId="12EF6A00" w:rsidR="00382B6C" w:rsidRPr="00AE6B59" w:rsidRDefault="00AE6B59" w:rsidP="00474AD1">
      <w:pPr>
        <w:pStyle w:val="ListParagraph0"/>
        <w:numPr>
          <w:ilvl w:val="0"/>
          <w:numId w:val="12"/>
        </w:numPr>
        <w:autoSpaceDE w:val="0"/>
        <w:autoSpaceDN w:val="0"/>
        <w:adjustRightInd w:val="0"/>
        <w:spacing w:line="276" w:lineRule="auto"/>
        <w:ind w:left="357" w:hanging="357"/>
        <w:rPr>
          <w:rFonts w:cs="Arial"/>
          <w:szCs w:val="20"/>
          <w:lang w:eastAsia="en-AU"/>
        </w:rPr>
      </w:pPr>
      <w:r w:rsidRPr="00F618F8">
        <w:rPr>
          <w:rFonts w:cs="Arial"/>
          <w:szCs w:val="20"/>
          <w:lang w:eastAsia="en-AU"/>
        </w:rPr>
        <w:t xml:space="preserve">Contribute to service evaluation and quality improvement activities ensuring recommendations are efficient, </w:t>
      </w:r>
      <w:proofErr w:type="gramStart"/>
      <w:r w:rsidRPr="00F618F8">
        <w:rPr>
          <w:rFonts w:cs="Arial"/>
          <w:szCs w:val="20"/>
          <w:lang w:eastAsia="en-AU"/>
        </w:rPr>
        <w:t>economical</w:t>
      </w:r>
      <w:proofErr w:type="gramEnd"/>
      <w:r w:rsidRPr="00F618F8">
        <w:rPr>
          <w:rFonts w:cs="Arial"/>
          <w:szCs w:val="20"/>
          <w:lang w:eastAsia="en-AU"/>
        </w:rPr>
        <w:t xml:space="preserve"> and ethical to improve the quality of the service provided. Fulfil professional and management duties by complying with all statutory regulations relating to pharmacy practice within Queensland and being committed to quality improvement and research within the department. </w:t>
      </w:r>
    </w:p>
    <w:p w14:paraId="12627A0E" w14:textId="77777777" w:rsidR="00AA751D" w:rsidRPr="00D04923" w:rsidRDefault="00AA751D" w:rsidP="00D04923">
      <w:pPr>
        <w:spacing w:before="240" w:after="120"/>
        <w:rPr>
          <w:i/>
          <w:color w:val="00A1DE"/>
          <w:szCs w:val="20"/>
        </w:rPr>
      </w:pPr>
      <w:r>
        <w:rPr>
          <w:i/>
          <w:color w:val="00A1DE"/>
          <w:szCs w:val="20"/>
        </w:rPr>
        <w:t>Additional:</w:t>
      </w:r>
    </w:p>
    <w:p w14:paraId="66F11378"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Ensure that service standards, safety and quality are maintained through adherence to defined service quality standards and relevant occupational health and safety policies, </w:t>
      </w:r>
      <w:proofErr w:type="gramStart"/>
      <w:r w:rsidRPr="00AA751D">
        <w:rPr>
          <w:lang w:eastAsia="en-AU"/>
        </w:rPr>
        <w:t>procedures</w:t>
      </w:r>
      <w:proofErr w:type="gramEnd"/>
      <w:r w:rsidRPr="00AA751D">
        <w:rPr>
          <w:lang w:eastAsia="en-AU"/>
        </w:rPr>
        <w:t xml:space="preserve"> and work practices.</w:t>
      </w:r>
    </w:p>
    <w:p w14:paraId="0970A41F" w14:textId="628F5181" w:rsidR="00AA751D" w:rsidRPr="00AA751D" w:rsidRDefault="005811D1" w:rsidP="00D04923">
      <w:pPr>
        <w:pStyle w:val="BodyText"/>
        <w:numPr>
          <w:ilvl w:val="0"/>
          <w:numId w:val="12"/>
        </w:numPr>
        <w:spacing w:line="240" w:lineRule="auto"/>
        <w:rPr>
          <w:lang w:eastAsia="en-AU"/>
        </w:rPr>
      </w:pPr>
      <w:r w:rsidRPr="005811D1">
        <w:rPr>
          <w:lang w:eastAsia="en-AU"/>
        </w:rPr>
        <w:lastRenderedPageBreak/>
        <w:t xml:space="preserve">Implement and monitor the organisation's quality standards, occupational health and safety policies, procedures and programs and provide clinical governance in the relevant work </w:t>
      </w:r>
      <w:proofErr w:type="gramStart"/>
      <w:r w:rsidRPr="005811D1">
        <w:rPr>
          <w:lang w:eastAsia="en-AU"/>
        </w:rPr>
        <w:t>area</w:t>
      </w:r>
      <w:proofErr w:type="gramEnd"/>
    </w:p>
    <w:p w14:paraId="37C8522A" w14:textId="6C8A2263" w:rsidR="00D04923" w:rsidRPr="00AE6B59" w:rsidRDefault="00AA751D" w:rsidP="00ED3E1A">
      <w:pPr>
        <w:pStyle w:val="BodyText"/>
        <w:numPr>
          <w:ilvl w:val="0"/>
          <w:numId w:val="12"/>
        </w:numPr>
        <w:spacing w:line="240" w:lineRule="auto"/>
        <w:rPr>
          <w:lang w:eastAsia="en-AU"/>
        </w:rPr>
      </w:pPr>
      <w:r w:rsidRPr="00AA751D">
        <w:rPr>
          <w:lang w:eastAsia="en-AU"/>
        </w:rPr>
        <w:t>Some roles within Queensland Health are designated as Vaccination Preventable Disease (VPD) risk roles.</w:t>
      </w:r>
      <w:r w:rsidR="00871E2F">
        <w:rPr>
          <w:lang w:eastAsia="en-AU"/>
        </w:rPr>
        <w:t xml:space="preserve">  </w:t>
      </w:r>
      <w:r w:rsidRPr="00871E2F">
        <w:rPr>
          <w:b/>
          <w:lang w:eastAsia="en-AU"/>
        </w:rPr>
        <w:t>This is a VPD risk role.</w:t>
      </w:r>
      <w:r w:rsidRPr="00AA751D">
        <w:rPr>
          <w:lang w:eastAsia="en-AU"/>
        </w:rPr>
        <w:t xml:space="preserve"> </w:t>
      </w:r>
    </w:p>
    <w:p w14:paraId="1B04ED9A" w14:textId="77777777"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271BE65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w:t>
      </w:r>
      <w:proofErr w:type="gramStart"/>
      <w:r w:rsidRPr="002B5E06">
        <w:rPr>
          <w:szCs w:val="20"/>
        </w:rPr>
        <w:t>volunteers</w:t>
      </w:r>
      <w:proofErr w:type="gramEnd"/>
      <w:r w:rsidRPr="002B5E06">
        <w:rPr>
          <w:szCs w:val="20"/>
        </w:rPr>
        <w:t xml:space="preserve">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CC6337">
      <w:pPr>
        <w:pStyle w:val="Heading1"/>
        <w:spacing w:before="240" w:after="120"/>
        <w:rPr>
          <w:sz w:val="24"/>
          <w:szCs w:val="24"/>
        </w:rPr>
      </w:pPr>
      <w:r w:rsidRPr="00D04923">
        <w:rPr>
          <w:sz w:val="24"/>
          <w:szCs w:val="24"/>
        </w:rPr>
        <w:t>Safety and Quality</w:t>
      </w:r>
    </w:p>
    <w:p w14:paraId="56A7BE5E" w14:textId="26469088" w:rsidR="008C110A" w:rsidRDefault="008C110A" w:rsidP="009E376F">
      <w:pPr>
        <w:spacing w:before="120" w:after="120"/>
        <w:rPr>
          <w:i/>
          <w:iCs/>
        </w:rPr>
      </w:pPr>
      <w:bookmarkStart w:id="7" w:name="_Hlk11060299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National Safety and Quality Health Services Standards.</w:t>
      </w:r>
      <w:r w:rsidR="0050261F">
        <w:rPr>
          <w:i/>
          <w:iCs/>
        </w:rPr>
        <w:t xml:space="preserve"> </w:t>
      </w:r>
    </w:p>
    <w:bookmarkEnd w:id="7"/>
    <w:p w14:paraId="57F0AEBF" w14:textId="1B9A6D4B" w:rsidR="009E2F07" w:rsidRDefault="009E2F07"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3E736E7B" w:rsidR="00B23013" w:rsidRPr="00CC6337" w:rsidRDefault="00B23013" w:rsidP="00CC6337">
      <w:pPr>
        <w:pStyle w:val="Heading1"/>
        <w:spacing w:before="240" w:after="120"/>
        <w:rPr>
          <w:sz w:val="24"/>
          <w:szCs w:val="24"/>
        </w:rPr>
      </w:pPr>
      <w:bookmarkStart w:id="8" w:name="_Hlk78206119"/>
      <w:bookmarkStart w:id="9" w:name="_Hlk87019167"/>
      <w:r w:rsidRPr="00D04923">
        <w:rPr>
          <w:sz w:val="24"/>
          <w:szCs w:val="24"/>
        </w:rPr>
        <w:t>Mandatory qualifications/ professional registration/ other requirements</w:t>
      </w:r>
    </w:p>
    <w:p w14:paraId="2EBE810C" w14:textId="77777777" w:rsidR="00871E2F" w:rsidRPr="00A660C3" w:rsidRDefault="00871E2F" w:rsidP="00871E2F">
      <w:pPr>
        <w:pStyle w:val="ListParagraph0"/>
        <w:numPr>
          <w:ilvl w:val="0"/>
          <w:numId w:val="14"/>
        </w:numPr>
        <w:spacing w:before="60"/>
        <w:rPr>
          <w:rFonts w:cs="Arial"/>
        </w:rPr>
      </w:pPr>
      <w:bookmarkStart w:id="10" w:name="Text27"/>
      <w:r w:rsidRPr="00A660C3">
        <w:rPr>
          <w:rFonts w:cs="Arial"/>
        </w:rPr>
        <w:t>Possession of a Bachelor of Pharmacy Degree from a recognised tertiary institution (or equivalent).</w:t>
      </w:r>
    </w:p>
    <w:p w14:paraId="5D697F3A" w14:textId="77777777" w:rsidR="00871E2F" w:rsidRPr="00A660C3" w:rsidRDefault="00871E2F" w:rsidP="00871E2F">
      <w:pPr>
        <w:pStyle w:val="ListParagraph0"/>
        <w:numPr>
          <w:ilvl w:val="0"/>
          <w:numId w:val="14"/>
        </w:numPr>
        <w:spacing w:before="60"/>
        <w:rPr>
          <w:rFonts w:cs="Arial"/>
        </w:rPr>
      </w:pPr>
      <w:r w:rsidRPr="00A660C3">
        <w:rPr>
          <w:rFonts w:cs="Arial"/>
        </w:rPr>
        <w:t>Current registration with the Australian Health Practitioner Regulation Agency (AHPRA).</w:t>
      </w:r>
    </w:p>
    <w:p w14:paraId="0C37F8D7" w14:textId="77777777" w:rsidR="00FA6069" w:rsidRPr="00D14C73" w:rsidRDefault="00FA6069" w:rsidP="00FA6069">
      <w:pPr>
        <w:numPr>
          <w:ilvl w:val="0"/>
          <w:numId w:val="14"/>
        </w:numPr>
        <w:autoSpaceDE w:val="0"/>
        <w:autoSpaceDN w:val="0"/>
        <w:adjustRightInd w:val="0"/>
        <w:spacing w:after="147"/>
        <w:rPr>
          <w:rFonts w:cs="Arial"/>
          <w:color w:val="000000"/>
          <w:szCs w:val="20"/>
          <w:lang w:eastAsia="en-AU"/>
        </w:rPr>
      </w:pPr>
      <w:r w:rsidRPr="00D14C73">
        <w:rPr>
          <w:rFonts w:cs="Arial"/>
          <w:color w:val="000000"/>
          <w:szCs w:val="20"/>
          <w:lang w:eastAsia="en-AU"/>
        </w:rPr>
        <w:t xml:space="preserve">A health-related post-graduate qualification and/or enrolment in the SHPA residency program are desirable. </w:t>
      </w:r>
    </w:p>
    <w:p w14:paraId="3ABE64B3" w14:textId="54EC52A5" w:rsidR="009E2F07" w:rsidRPr="00AE6B59" w:rsidRDefault="009E2F07" w:rsidP="00AE6B59">
      <w:pPr>
        <w:numPr>
          <w:ilvl w:val="0"/>
          <w:numId w:val="14"/>
        </w:numPr>
        <w:autoSpaceDE w:val="0"/>
        <w:autoSpaceDN w:val="0"/>
        <w:adjustRightInd w:val="0"/>
        <w:spacing w:after="147"/>
        <w:rPr>
          <w:rFonts w:cs="Arial"/>
          <w:color w:val="000000"/>
          <w:szCs w:val="20"/>
          <w:lang w:eastAsia="en-AU"/>
        </w:rPr>
      </w:pPr>
      <w:r w:rsidRPr="00E53BB3">
        <w:rPr>
          <w:rFonts w:cs="Arial"/>
          <w:noProof/>
          <w:color w:val="000000"/>
          <w:szCs w:val="20"/>
        </w:rPr>
        <w:t xml:space="preserve">Appointment to this position requires proof of qualification and registration or membership (if applicable) with the appropriate registration authority or association. </w:t>
      </w:r>
      <w:r w:rsidR="00AE6B59" w:rsidRPr="00D14C73">
        <w:rPr>
          <w:rFonts w:cs="Arial"/>
          <w:color w:val="000000"/>
          <w:szCs w:val="20"/>
          <w:lang w:eastAsia="en-AU"/>
        </w:rPr>
        <w:t xml:space="preserve">For example, a Bachelor of Pharmacy Degree from a recognised tertiary institution. </w:t>
      </w:r>
      <w:r w:rsidRPr="00AE6B59">
        <w:rPr>
          <w:rFonts w:cs="Arial"/>
          <w:noProof/>
          <w:color w:val="000000"/>
          <w:szCs w:val="20"/>
        </w:rPr>
        <w:t>Certified copies of the required information must be provided to the approp</w:t>
      </w:r>
      <w:r w:rsidR="0047551F" w:rsidRPr="00AE6B59">
        <w:rPr>
          <w:rFonts w:cs="Arial"/>
          <w:noProof/>
          <w:color w:val="000000"/>
          <w:szCs w:val="20"/>
        </w:rPr>
        <w:t>r</w:t>
      </w:r>
      <w:r w:rsidRPr="00AE6B59">
        <w:rPr>
          <w:rFonts w:cs="Arial"/>
          <w:noProof/>
          <w:color w:val="000000"/>
          <w:szCs w:val="20"/>
        </w:rPr>
        <w:t>iate supervisor/manager prior to commencement of clinical duties.</w:t>
      </w:r>
    </w:p>
    <w:bookmarkEnd w:id="10"/>
    <w:p w14:paraId="3529F9E6" w14:textId="02D855D1" w:rsidR="009E2F07" w:rsidRPr="00AE6B59" w:rsidRDefault="00AE6B59" w:rsidP="00AE6B59">
      <w:pPr>
        <w:numPr>
          <w:ilvl w:val="0"/>
          <w:numId w:val="14"/>
        </w:numPr>
        <w:autoSpaceDE w:val="0"/>
        <w:autoSpaceDN w:val="0"/>
        <w:adjustRightInd w:val="0"/>
        <w:spacing w:after="147"/>
        <w:rPr>
          <w:rFonts w:cs="Arial"/>
          <w:b/>
          <w:bCs/>
          <w:color w:val="000000"/>
          <w:szCs w:val="20"/>
          <w:lang w:eastAsia="en-AU"/>
        </w:rPr>
      </w:pPr>
      <w:r w:rsidRPr="00D14C73">
        <w:rPr>
          <w:rFonts w:cs="Arial"/>
          <w:b/>
          <w:bCs/>
          <w:color w:val="000000"/>
          <w:szCs w:val="20"/>
          <w:lang w:eastAsia="en-AU"/>
        </w:rPr>
        <w:t xml:space="preserve">Ability to work across 7-days (Monday to Sunday) as part of a normal roster, providing pharmacy services to designated work units. </w:t>
      </w:r>
    </w:p>
    <w:p w14:paraId="726E504F" w14:textId="77777777" w:rsidR="00AA74A3" w:rsidRPr="00DA2CB0" w:rsidRDefault="00AA74A3" w:rsidP="00AA74A3">
      <w:pPr>
        <w:numPr>
          <w:ilvl w:val="0"/>
          <w:numId w:val="14"/>
        </w:numPr>
        <w:spacing w:before="120" w:after="120"/>
        <w:rPr>
          <w:rFonts w:cs="Arial"/>
          <w:noProof/>
          <w:color w:val="000000"/>
          <w:szCs w:val="20"/>
        </w:rPr>
      </w:pPr>
      <w:bookmarkStart w:id="11" w:name="_Hlk55994313"/>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to the following VPD's Hepatitis B, Measles, Mumps, Rubella, Varicella and Pertussis (diphtheria, tetanus and pertussis containing vaccine) according to the Queensland Health Policy. </w:t>
      </w:r>
    </w:p>
    <w:bookmarkEnd w:id="8"/>
    <w:bookmarkEnd w:id="9"/>
    <w:bookmarkEnd w:id="11"/>
    <w:p w14:paraId="0280A95A" w14:textId="62EBA153" w:rsidR="009E2F07" w:rsidRPr="00CC6337" w:rsidRDefault="009E2F07" w:rsidP="00CC6337">
      <w:pPr>
        <w:pStyle w:val="Heading1"/>
        <w:spacing w:before="240" w:after="120"/>
        <w:rPr>
          <w:sz w:val="24"/>
          <w:szCs w:val="24"/>
        </w:rPr>
      </w:pPr>
      <w:r w:rsidRPr="00D04923">
        <w:rPr>
          <w:sz w:val="24"/>
          <w:szCs w:val="24"/>
        </w:rPr>
        <w:t>How you will be assessed</w:t>
      </w:r>
    </w:p>
    <w:p w14:paraId="1CED8D15"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5ECF1F82" w14:textId="77777777" w:rsidR="00AE6B59" w:rsidRPr="00237BA3" w:rsidRDefault="00AE6B59" w:rsidP="00AE6B59">
      <w:pPr>
        <w:numPr>
          <w:ilvl w:val="0"/>
          <w:numId w:val="14"/>
        </w:numPr>
        <w:autoSpaceDE w:val="0"/>
        <w:autoSpaceDN w:val="0"/>
        <w:adjustRightInd w:val="0"/>
        <w:spacing w:after="147"/>
        <w:rPr>
          <w:rFonts w:cs="Arial"/>
          <w:color w:val="000000"/>
          <w:szCs w:val="20"/>
          <w:lang w:eastAsia="en-AU"/>
        </w:rPr>
      </w:pPr>
      <w:r w:rsidRPr="00237BA3">
        <w:rPr>
          <w:rFonts w:cs="Arial"/>
          <w:color w:val="000000"/>
          <w:szCs w:val="20"/>
          <w:lang w:eastAsia="en-AU"/>
        </w:rPr>
        <w:t xml:space="preserve">A competent level of knowledge, </w:t>
      </w:r>
      <w:proofErr w:type="gramStart"/>
      <w:r w:rsidRPr="00237BA3">
        <w:rPr>
          <w:rFonts w:cs="Arial"/>
          <w:color w:val="000000"/>
          <w:szCs w:val="20"/>
          <w:lang w:eastAsia="en-AU"/>
        </w:rPr>
        <w:t>expertise</w:t>
      </w:r>
      <w:proofErr w:type="gramEnd"/>
      <w:r w:rsidRPr="00237BA3">
        <w:rPr>
          <w:rFonts w:cs="Arial"/>
          <w:color w:val="000000"/>
          <w:szCs w:val="20"/>
          <w:lang w:eastAsia="en-AU"/>
        </w:rPr>
        <w:t xml:space="preserve"> and skills in contemporary, evidence based public- hospital pharmacy services and ability to apply this knowledge in at The Townsville Hospital. </w:t>
      </w:r>
    </w:p>
    <w:p w14:paraId="4AF8A33B" w14:textId="77777777" w:rsidR="00AE6B59" w:rsidRPr="00237BA3" w:rsidRDefault="00AE6B59" w:rsidP="00AE6B59">
      <w:pPr>
        <w:numPr>
          <w:ilvl w:val="0"/>
          <w:numId w:val="14"/>
        </w:numPr>
        <w:autoSpaceDE w:val="0"/>
        <w:autoSpaceDN w:val="0"/>
        <w:adjustRightInd w:val="0"/>
        <w:spacing w:after="147"/>
        <w:rPr>
          <w:rFonts w:cs="Arial"/>
          <w:color w:val="000000"/>
          <w:szCs w:val="20"/>
          <w:lang w:eastAsia="en-AU"/>
        </w:rPr>
      </w:pPr>
      <w:r w:rsidRPr="00237BA3">
        <w:rPr>
          <w:rFonts w:cs="Arial"/>
          <w:color w:val="000000"/>
          <w:szCs w:val="20"/>
          <w:lang w:eastAsia="en-AU"/>
        </w:rPr>
        <w:t xml:space="preserve">An ability to work collaboratively with and actively participate in, a multi-disciplinary team and to implement the APAC Continuum of Care guidelines in a team environment, </w:t>
      </w:r>
      <w:proofErr w:type="gramStart"/>
      <w:r w:rsidRPr="00237BA3">
        <w:rPr>
          <w:rFonts w:cs="Arial"/>
          <w:color w:val="000000"/>
          <w:szCs w:val="20"/>
          <w:lang w:eastAsia="en-AU"/>
        </w:rPr>
        <w:t>so as to</w:t>
      </w:r>
      <w:proofErr w:type="gramEnd"/>
      <w:r w:rsidRPr="00237BA3">
        <w:rPr>
          <w:rFonts w:cs="Arial"/>
          <w:color w:val="000000"/>
          <w:szCs w:val="20"/>
          <w:lang w:eastAsia="en-AU"/>
        </w:rPr>
        <w:t xml:space="preserve"> provide quality services, support research activity and promote a model of best practice for the benefit of patients and staff. </w:t>
      </w:r>
    </w:p>
    <w:p w14:paraId="3F9AE294" w14:textId="77777777" w:rsidR="00AE6B59" w:rsidRPr="00237BA3" w:rsidRDefault="00AE6B59" w:rsidP="00AE6B59">
      <w:pPr>
        <w:numPr>
          <w:ilvl w:val="0"/>
          <w:numId w:val="14"/>
        </w:numPr>
        <w:autoSpaceDE w:val="0"/>
        <w:autoSpaceDN w:val="0"/>
        <w:adjustRightInd w:val="0"/>
        <w:spacing w:after="147"/>
        <w:rPr>
          <w:rFonts w:cs="Arial"/>
          <w:color w:val="000000"/>
          <w:szCs w:val="20"/>
          <w:lang w:eastAsia="en-AU"/>
        </w:rPr>
      </w:pPr>
      <w:r w:rsidRPr="00237BA3">
        <w:rPr>
          <w:rFonts w:cs="Arial"/>
          <w:color w:val="000000"/>
          <w:szCs w:val="20"/>
          <w:lang w:eastAsia="en-AU"/>
        </w:rPr>
        <w:t xml:space="preserve">Communication, time management and interpersonal skills evidenced through effective consultation, advice provision and assistance to professional peers and other staff in relation to pharmacy </w:t>
      </w:r>
      <w:proofErr w:type="gramStart"/>
      <w:r w:rsidRPr="00237BA3">
        <w:rPr>
          <w:rFonts w:cs="Arial"/>
          <w:color w:val="000000"/>
          <w:szCs w:val="20"/>
          <w:lang w:eastAsia="en-AU"/>
        </w:rPr>
        <w:t>services;</w:t>
      </w:r>
      <w:proofErr w:type="gramEnd"/>
      <w:r w:rsidRPr="00237BA3">
        <w:rPr>
          <w:rFonts w:cs="Arial"/>
          <w:color w:val="000000"/>
          <w:szCs w:val="20"/>
          <w:lang w:eastAsia="en-AU"/>
        </w:rPr>
        <w:t xml:space="preserve"> effective work practice within a multi-disciplinary health care team. </w:t>
      </w:r>
    </w:p>
    <w:p w14:paraId="33F320EE" w14:textId="77777777" w:rsidR="00AE6B59" w:rsidRPr="00237BA3" w:rsidRDefault="00AE6B59" w:rsidP="00AE6B59">
      <w:pPr>
        <w:numPr>
          <w:ilvl w:val="0"/>
          <w:numId w:val="14"/>
        </w:numPr>
        <w:autoSpaceDE w:val="0"/>
        <w:autoSpaceDN w:val="0"/>
        <w:adjustRightInd w:val="0"/>
        <w:spacing w:after="147"/>
        <w:rPr>
          <w:rFonts w:cs="Arial"/>
          <w:color w:val="000000"/>
          <w:szCs w:val="20"/>
          <w:lang w:eastAsia="en-AU"/>
        </w:rPr>
      </w:pPr>
      <w:r w:rsidRPr="00237BA3">
        <w:rPr>
          <w:rFonts w:cs="Arial"/>
          <w:color w:val="000000"/>
          <w:szCs w:val="20"/>
          <w:lang w:eastAsia="en-AU"/>
        </w:rPr>
        <w:t xml:space="preserve">A demonstrated interest in undertaking post graduate professional development activities to support better health service provision to patients in collaboration with the pharmacy and multidisciplinary colleges. </w:t>
      </w:r>
    </w:p>
    <w:p w14:paraId="11432A26" w14:textId="77777777" w:rsidR="00AE6B59" w:rsidRPr="00237BA3" w:rsidRDefault="00AE6B59" w:rsidP="00AE6B59">
      <w:pPr>
        <w:numPr>
          <w:ilvl w:val="0"/>
          <w:numId w:val="14"/>
        </w:numPr>
        <w:autoSpaceDE w:val="0"/>
        <w:autoSpaceDN w:val="0"/>
        <w:adjustRightInd w:val="0"/>
        <w:spacing w:after="147"/>
        <w:rPr>
          <w:rFonts w:cs="Arial"/>
          <w:color w:val="000000"/>
          <w:szCs w:val="20"/>
          <w:lang w:eastAsia="en-AU"/>
        </w:rPr>
      </w:pPr>
      <w:r>
        <w:rPr>
          <w:rFonts w:cs="Arial"/>
          <w:color w:val="000000"/>
          <w:szCs w:val="20"/>
          <w:lang w:eastAsia="en-AU"/>
        </w:rPr>
        <w:t>D</w:t>
      </w:r>
      <w:r w:rsidRPr="00237BA3">
        <w:rPr>
          <w:rFonts w:cs="Arial"/>
          <w:color w:val="000000"/>
          <w:szCs w:val="20"/>
          <w:lang w:eastAsia="en-AU"/>
        </w:rPr>
        <w:t xml:space="preserve">emonstrated ability to supervise, train, educate multidisciplinary staff. </w:t>
      </w:r>
    </w:p>
    <w:p w14:paraId="58B4A58E" w14:textId="77777777" w:rsidR="00AE6B59" w:rsidRPr="00237BA3" w:rsidRDefault="00AE6B59" w:rsidP="00AE6B59">
      <w:pPr>
        <w:numPr>
          <w:ilvl w:val="0"/>
          <w:numId w:val="14"/>
        </w:numPr>
        <w:autoSpaceDE w:val="0"/>
        <w:autoSpaceDN w:val="0"/>
        <w:adjustRightInd w:val="0"/>
        <w:spacing w:after="147"/>
        <w:rPr>
          <w:rFonts w:cs="Arial"/>
          <w:color w:val="000000"/>
          <w:szCs w:val="20"/>
          <w:lang w:eastAsia="en-AU"/>
        </w:rPr>
      </w:pPr>
      <w:r w:rsidRPr="00237BA3">
        <w:rPr>
          <w:rFonts w:cs="Arial"/>
          <w:color w:val="000000"/>
          <w:szCs w:val="20"/>
          <w:lang w:eastAsia="en-AU"/>
        </w:rPr>
        <w:lastRenderedPageBreak/>
        <w:t xml:space="preserve">An ability to provide leadership to multidisciplinary staff ensuring that the needs of the pharmacy clients are met in the most efficient, economical &amp; ethical manner. </w:t>
      </w:r>
    </w:p>
    <w:p w14:paraId="254029CE" w14:textId="77777777" w:rsidR="00AE6B59" w:rsidRPr="00237BA3" w:rsidRDefault="00AE6B59" w:rsidP="00AE6B59">
      <w:pPr>
        <w:numPr>
          <w:ilvl w:val="0"/>
          <w:numId w:val="14"/>
        </w:numPr>
        <w:autoSpaceDE w:val="0"/>
        <w:autoSpaceDN w:val="0"/>
        <w:adjustRightInd w:val="0"/>
        <w:spacing w:after="147"/>
        <w:rPr>
          <w:rFonts w:cs="Arial"/>
          <w:color w:val="000000"/>
          <w:szCs w:val="20"/>
          <w:lang w:eastAsia="en-AU"/>
        </w:rPr>
      </w:pPr>
      <w:r w:rsidRPr="00237BA3">
        <w:rPr>
          <w:rFonts w:cs="Arial"/>
          <w:color w:val="000000"/>
          <w:szCs w:val="20"/>
          <w:lang w:eastAsia="en-AU"/>
        </w:rPr>
        <w:t xml:space="preserve">Ability to undertake and support quality improvement and research activities. </w:t>
      </w:r>
    </w:p>
    <w:p w14:paraId="604A18A0" w14:textId="299088EC" w:rsidR="009E2F07" w:rsidRPr="005811D1" w:rsidRDefault="00AE6B59" w:rsidP="00AE6B59">
      <w:pPr>
        <w:pStyle w:val="BodyText"/>
        <w:numPr>
          <w:ilvl w:val="0"/>
          <w:numId w:val="14"/>
        </w:numPr>
        <w:spacing w:line="240" w:lineRule="auto"/>
      </w:pPr>
      <w:r>
        <w:rPr>
          <w:rFonts w:cs="Arial"/>
          <w:szCs w:val="20"/>
          <w:lang w:eastAsia="en-AU"/>
        </w:rPr>
        <w:t>U</w:t>
      </w:r>
      <w:r w:rsidRPr="00237BA3">
        <w:rPr>
          <w:rFonts w:cs="Arial"/>
          <w:szCs w:val="20"/>
          <w:lang w:eastAsia="en-AU"/>
        </w:rPr>
        <w:t xml:space="preserve">nderstanding and ability to support THHS strategic values, </w:t>
      </w:r>
      <w:proofErr w:type="gramStart"/>
      <w:r w:rsidRPr="00237BA3">
        <w:rPr>
          <w:rFonts w:cs="Arial"/>
          <w:szCs w:val="20"/>
          <w:lang w:eastAsia="en-AU"/>
        </w:rPr>
        <w:t>purpose</w:t>
      </w:r>
      <w:proofErr w:type="gramEnd"/>
      <w:r w:rsidRPr="00237BA3">
        <w:rPr>
          <w:rFonts w:cs="Arial"/>
          <w:szCs w:val="20"/>
          <w:lang w:eastAsia="en-AU"/>
        </w:rPr>
        <w:t xml:space="preserve"> and vision.</w:t>
      </w:r>
    </w:p>
    <w:p w14:paraId="159F933C" w14:textId="5729F0D7" w:rsidR="00B23013" w:rsidRPr="00CC6337" w:rsidRDefault="00B23013" w:rsidP="00CC6337">
      <w:pPr>
        <w:pStyle w:val="Heading1"/>
        <w:spacing w:before="240" w:after="120"/>
        <w:rPr>
          <w:sz w:val="24"/>
          <w:szCs w:val="24"/>
        </w:rPr>
      </w:pPr>
      <w:r w:rsidRPr="00D04923">
        <w:rPr>
          <w:sz w:val="24"/>
          <w:szCs w:val="24"/>
        </w:rPr>
        <w:t xml:space="preserve">Your </w:t>
      </w:r>
      <w:r w:rsidR="00DC7A8E">
        <w:rPr>
          <w:sz w:val="24"/>
          <w:szCs w:val="24"/>
        </w:rPr>
        <w:t>a</w:t>
      </w:r>
      <w:r w:rsidRPr="00D04923">
        <w:rPr>
          <w:sz w:val="24"/>
          <w:szCs w:val="24"/>
        </w:rPr>
        <w:t>pplication</w:t>
      </w:r>
    </w:p>
    <w:p w14:paraId="25E027DC"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D04923">
      <w:pPr>
        <w:pStyle w:val="BodyText"/>
        <w:numPr>
          <w:ilvl w:val="0"/>
          <w:numId w:val="14"/>
        </w:numPr>
        <w:spacing w:line="240" w:lineRule="auto"/>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5EFA57FE"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w:t>
      </w:r>
      <w:proofErr w:type="gramStart"/>
      <w:r w:rsidR="00B23013" w:rsidRPr="00B23013">
        <w:t>knowledge</w:t>
      </w:r>
      <w:proofErr w:type="gramEnd"/>
      <w:r w:rsidR="00B23013" w:rsidRPr="00B23013">
        <w:t xml:space="preserve"> and personal qualities are relevant for the role, </w:t>
      </w:r>
      <w:r w:rsidR="00757F57">
        <w:t xml:space="preserve">addressing </w:t>
      </w:r>
      <w:r w:rsidR="00B23013" w:rsidRPr="00B23013">
        <w:t>the key responsibilities and key attributes of the position.</w:t>
      </w:r>
    </w:p>
    <w:p w14:paraId="547B4699"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1850325A" w14:textId="77777777" w:rsidR="00B23013" w:rsidRPr="00B23013" w:rsidRDefault="00B23013" w:rsidP="00D04923">
      <w:pPr>
        <w:pStyle w:val="BodyText"/>
        <w:numPr>
          <w:ilvl w:val="0"/>
          <w:numId w:val="14"/>
        </w:numPr>
        <w:spacing w:line="240" w:lineRule="auto"/>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2847F2DA" w:rsidR="00B23013" w:rsidRDefault="00B23013" w:rsidP="00FA6069">
      <w:pPr>
        <w:pStyle w:val="BodyText"/>
        <w:spacing w:before="240" w:line="240" w:lineRule="auto"/>
      </w:pPr>
      <w:r>
        <w:t>Once completed, your application should be submitted online – visit</w:t>
      </w:r>
      <w:r w:rsidR="00BE5724">
        <w:t xml:space="preserve"> the</w:t>
      </w:r>
      <w:r>
        <w:t xml:space="preserve"> </w:t>
      </w:r>
      <w:hyperlink r:id="rId11" w:history="1">
        <w:r w:rsidR="00BE5724">
          <w:rPr>
            <w:rStyle w:val="Hyperlink"/>
          </w:rPr>
          <w:t>Smart Jobs and Careers website</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0BCE6AAE" w14:textId="2D83C7DB" w:rsidR="004B00B7" w:rsidRDefault="00935303" w:rsidP="00D04923">
      <w:pPr>
        <w:spacing w:before="120" w:after="120"/>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D04923">
      <w:pPr>
        <w:spacing w:before="120" w:after="120"/>
      </w:pPr>
      <w:r>
        <w:t>We serve the local government areas of Townsville, Burdekin, Charters Towers, Flinders, Richmond, Hinchinbrook and Palm Island</w:t>
      </w:r>
      <w:r w:rsidR="00154509">
        <w:t>.</w:t>
      </w:r>
    </w:p>
    <w:p w14:paraId="4D637EB7" w14:textId="6953AE81" w:rsidR="004B00B7" w:rsidRDefault="004B00B7" w:rsidP="00D04923">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D04923">
      <w:pPr>
        <w:spacing w:before="120" w:after="120"/>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D04923">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3CDDE08A" w14:textId="7D850507" w:rsidR="004B00B7" w:rsidRPr="009A606B" w:rsidRDefault="004B00B7" w:rsidP="00155828">
      <w:pPr>
        <w:pStyle w:val="Heading1"/>
        <w:spacing w:before="240" w:after="120"/>
        <w:rPr>
          <w:b w:val="0"/>
          <w:bCs/>
          <w:sz w:val="20"/>
          <w:szCs w:val="20"/>
        </w:rPr>
      </w:pPr>
      <w:r w:rsidRPr="009A606B">
        <w:rPr>
          <w:b w:val="0"/>
          <w:bCs/>
          <w:color w:val="000000" w:themeColor="text1"/>
          <w:sz w:val="20"/>
          <w:szCs w:val="20"/>
        </w:rPr>
        <w:t xml:space="preserve">Our vision is world-class healthcare for northern Queensland. The </w:t>
      </w:r>
      <w:hyperlink r:id="rId12" w:history="1">
        <w:r w:rsidR="00D707E5" w:rsidRPr="009A606B">
          <w:rPr>
            <w:rStyle w:val="Hyperlink"/>
            <w:b w:val="0"/>
            <w:bCs/>
            <w:sz w:val="20"/>
            <w:szCs w:val="20"/>
          </w:rPr>
          <w:t>Townsville Hospital and Health Service Strategic plan 2022-2026</w:t>
        </w:r>
      </w:hyperlink>
      <w:r w:rsidR="00D707E5"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183A370A" w14:textId="43585CF3" w:rsidR="009E2F07" w:rsidRPr="005811D1" w:rsidRDefault="00D04923" w:rsidP="00FA6069">
      <w:pPr>
        <w:spacing w:before="360" w:after="24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sidR="00A5116C">
        <w:rPr>
          <w:rFonts w:eastAsia="Times New Roman"/>
          <w:b/>
          <w:color w:val="00A1DE" w:themeColor="background2"/>
          <w:sz w:val="24"/>
          <w:szCs w:val="24"/>
        </w:rPr>
        <w:t>World-class healthcare for northern Queensland</w:t>
      </w:r>
    </w:p>
    <w:p w14:paraId="0C5E36E1" w14:textId="36A54C78" w:rsidR="009E2F07" w:rsidRDefault="009E2F07" w:rsidP="00FA6069">
      <w:pPr>
        <w:pStyle w:val="BodyText"/>
        <w:spacing w:after="240"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sidR="00A5116C">
        <w:rPr>
          <w:rFonts w:eastAsia="Times New Roman"/>
          <w:b/>
          <w:color w:val="00A1DE" w:themeColor="background2"/>
          <w:sz w:val="24"/>
          <w:szCs w:val="24"/>
        </w:rPr>
        <w:t>Great care every</w:t>
      </w:r>
      <w:r w:rsidR="008E473D">
        <w:rPr>
          <w:rFonts w:eastAsia="Times New Roman"/>
          <w:b/>
          <w:color w:val="00A1DE" w:themeColor="background2"/>
          <w:sz w:val="24"/>
          <w:szCs w:val="24"/>
        </w:rPr>
        <w:t xml:space="preserve"> </w:t>
      </w:r>
      <w:r w:rsidR="00A5116C">
        <w:rPr>
          <w:rFonts w:eastAsia="Times New Roman"/>
          <w:b/>
          <w:color w:val="00A1DE" w:themeColor="background2"/>
          <w:sz w:val="24"/>
          <w:szCs w:val="24"/>
        </w:rPr>
        <w:t>day</w:t>
      </w:r>
    </w:p>
    <w:p w14:paraId="156C0AB7" w14:textId="77777777" w:rsidR="009E2F07" w:rsidRDefault="009E2F07" w:rsidP="00D04923">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9776" behindDoc="0" locked="0" layoutInCell="1" allowOverlap="1" wp14:anchorId="4938E965" wp14:editId="275E9FB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CE3D210" w14:textId="1B5E1E2E" w:rsidR="00600593" w:rsidRPr="002C5078" w:rsidRDefault="00A7453C" w:rsidP="00D04923">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4" w:history="1">
        <w:r w:rsidR="002C5078" w:rsidRPr="00CC4416">
          <w:rPr>
            <w:rStyle w:val="Hyperlink"/>
            <w:b/>
            <w:bCs/>
          </w:rPr>
          <w:t>Townsville Hospital and Health Service</w:t>
        </w:r>
      </w:hyperlink>
      <w:r w:rsidR="002C5078" w:rsidRPr="002C5078">
        <w:rPr>
          <w:b/>
          <w:bCs/>
          <w:u w:val="single"/>
        </w:rPr>
        <w:t xml:space="preserve"> </w:t>
      </w:r>
    </w:p>
    <w:p w14:paraId="0BFBA362" w14:textId="77777777" w:rsidR="00FA6069" w:rsidRDefault="00FA6069" w:rsidP="00FA6069">
      <w:pPr>
        <w:pStyle w:val="Heading1"/>
        <w:spacing w:before="240" w:after="120"/>
        <w:rPr>
          <w:sz w:val="24"/>
          <w:szCs w:val="24"/>
        </w:rPr>
      </w:pPr>
      <w:bookmarkStart w:id="12" w:name="_Hlk151707024"/>
      <w:r w:rsidRPr="00D04923">
        <w:rPr>
          <w:sz w:val="24"/>
          <w:szCs w:val="24"/>
        </w:rPr>
        <w:lastRenderedPageBreak/>
        <w:t xml:space="preserve">Health </w:t>
      </w:r>
      <w:r>
        <w:rPr>
          <w:sz w:val="24"/>
          <w:szCs w:val="24"/>
        </w:rPr>
        <w:t xml:space="preserve">Equity and Racism </w:t>
      </w:r>
    </w:p>
    <w:p w14:paraId="4FB7A012" w14:textId="77777777" w:rsidR="00FA6069" w:rsidRDefault="00FA6069" w:rsidP="00FA6069">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5" w:history="1">
        <w:r>
          <w:rPr>
            <w:rStyle w:val="Hyperlink"/>
          </w:rPr>
          <w:t>First Nations Health Equity Strategy 2022-2025 and Implementation Plan</w:t>
        </w:r>
      </w:hyperlink>
    </w:p>
    <w:p w14:paraId="5284B897" w14:textId="77777777" w:rsidR="00FA6069" w:rsidRDefault="00FA6069" w:rsidP="00FA6069">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48AA61D4" w14:textId="77777777" w:rsidR="00FA6069" w:rsidRDefault="00FA6069" w:rsidP="00FA6069">
      <w:pPr>
        <w:spacing w:before="120" w:line="276" w:lineRule="auto"/>
      </w:pPr>
      <w:r>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bookmarkEnd w:id="12"/>
    <w:p w14:paraId="16C7A5CF" w14:textId="69EAE57D" w:rsidR="00A7453C" w:rsidRPr="00CC6337" w:rsidRDefault="00A7453C" w:rsidP="00CC6337">
      <w:pPr>
        <w:pStyle w:val="Heading1"/>
        <w:spacing w:before="240" w:after="120"/>
        <w:rPr>
          <w:sz w:val="24"/>
          <w:szCs w:val="24"/>
        </w:rPr>
      </w:pPr>
      <w:r w:rsidRPr="00D04923">
        <w:rPr>
          <w:sz w:val="24"/>
          <w:szCs w:val="24"/>
        </w:rPr>
        <w:t xml:space="preserve">Additional </w:t>
      </w:r>
      <w:r w:rsidR="00DC7A8E">
        <w:rPr>
          <w:sz w:val="24"/>
          <w:szCs w:val="24"/>
        </w:rPr>
        <w:t>i</w:t>
      </w:r>
      <w:r w:rsidRPr="00D04923">
        <w:rPr>
          <w:sz w:val="24"/>
          <w:szCs w:val="24"/>
        </w:rPr>
        <w:t>nformation</w:t>
      </w:r>
    </w:p>
    <w:p w14:paraId="0430A8EE" w14:textId="77777777" w:rsidR="00C15284" w:rsidRPr="00306E07" w:rsidRDefault="00C15284" w:rsidP="00C15284">
      <w:pPr>
        <w:numPr>
          <w:ilvl w:val="0"/>
          <w:numId w:val="14"/>
        </w:numPr>
        <w:spacing w:before="120" w:after="120"/>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296140B4" w:rsidR="00C15284" w:rsidRPr="00600593" w:rsidRDefault="00837916" w:rsidP="00C15284">
      <w:pPr>
        <w:numPr>
          <w:ilvl w:val="0"/>
          <w:numId w:val="14"/>
        </w:numPr>
        <w:spacing w:before="120" w:after="120"/>
        <w:rPr>
          <w:rFonts w:cs="Arial"/>
          <w:bCs/>
          <w:szCs w:val="20"/>
        </w:rPr>
      </w:pPr>
      <w:r>
        <w:rPr>
          <w:rFonts w:cs="Arial"/>
          <w:bCs/>
          <w:szCs w:val="20"/>
        </w:rPr>
        <w:t>E</w:t>
      </w:r>
      <w:r w:rsidR="00C15284" w:rsidRPr="00600593">
        <w:rPr>
          <w:rFonts w:cs="Arial"/>
          <w:bCs/>
          <w:szCs w:val="20"/>
        </w:rPr>
        <w:t>mployees</w:t>
      </w:r>
      <w:r>
        <w:rPr>
          <w:rFonts w:cs="Arial"/>
          <w:bCs/>
          <w:szCs w:val="20"/>
        </w:rPr>
        <w:t xml:space="preserve"> who are </w:t>
      </w:r>
      <w:r w:rsidR="00891B5F" w:rsidRPr="00600593">
        <w:rPr>
          <w:rFonts w:cs="Arial"/>
          <w:bCs/>
          <w:szCs w:val="20"/>
        </w:rPr>
        <w:t>appointed to Queensland Health</w:t>
      </w:r>
      <w:r w:rsidR="00891B5F">
        <w:rPr>
          <w:rFonts w:cs="Arial"/>
          <w:bCs/>
          <w:szCs w:val="20"/>
        </w:rPr>
        <w:t xml:space="preserve"> </w:t>
      </w:r>
      <w:r>
        <w:rPr>
          <w:rFonts w:cs="Arial"/>
          <w:bCs/>
          <w:szCs w:val="20"/>
        </w:rPr>
        <w:t xml:space="preserve">may be required to undertake a period of probation </w:t>
      </w:r>
      <w:r w:rsidR="00C15284" w:rsidRPr="00600593">
        <w:rPr>
          <w:rFonts w:cs="Arial"/>
          <w:bCs/>
          <w:szCs w:val="20"/>
        </w:rPr>
        <w:t>appropriate to the appointment</w:t>
      </w:r>
      <w:r>
        <w:rPr>
          <w:rFonts w:cs="Arial"/>
          <w:bCs/>
          <w:szCs w:val="20"/>
        </w:rPr>
        <w:t xml:space="preserve">.  For further information, refer to </w:t>
      </w:r>
      <w:r w:rsidR="00A62D3C">
        <w:rPr>
          <w:rFonts w:cs="Arial"/>
          <w:bCs/>
          <w:szCs w:val="20"/>
        </w:rPr>
        <w:t xml:space="preserve">Probation HR Policy B2. </w:t>
      </w:r>
      <w:r>
        <w:rPr>
          <w:rFonts w:cs="Arial"/>
          <w:bCs/>
          <w:szCs w:val="20"/>
        </w:rPr>
        <w:t xml:space="preserve"> </w:t>
      </w:r>
    </w:p>
    <w:p w14:paraId="37A15BCD" w14:textId="77777777" w:rsidR="00C15284" w:rsidRDefault="00C15284" w:rsidP="00C15284">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C15284">
      <w:pPr>
        <w:pStyle w:val="BodyText"/>
        <w:numPr>
          <w:ilvl w:val="0"/>
          <w:numId w:val="14"/>
        </w:numPr>
        <w:spacing w:line="240" w:lineRule="auto"/>
        <w:rPr>
          <w:rFonts w:cs="Arial"/>
          <w:bCs/>
          <w:color w:val="auto"/>
          <w:szCs w:val="20"/>
        </w:rPr>
      </w:pPr>
      <w:r w:rsidRPr="009E2F07">
        <w:t xml:space="preserve">Applicants will be required to give a statement of their employment as a lobbyist within one (1) month of taking up the appointment. Details </w:t>
      </w:r>
      <w:hyperlink r:id="rId16"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C15284">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7" w:history="1">
        <w:r w:rsidRPr="00CC4416">
          <w:rPr>
            <w:rStyle w:val="Hyperlink"/>
          </w:rPr>
          <w:t>Workers' Compensation and Rehabilitation Act 2003</w:t>
        </w:r>
      </w:hyperlink>
      <w:r w:rsidR="00154509" w:rsidRPr="00CC4416">
        <w:rPr>
          <w:rStyle w:val="Hyperlink"/>
        </w:rPr>
        <w:t>.</w:t>
      </w:r>
    </w:p>
    <w:p w14:paraId="679B7919" w14:textId="154011D5" w:rsidR="00C15284" w:rsidRPr="00CC473F" w:rsidRDefault="00C15284" w:rsidP="00C15284">
      <w:pPr>
        <w:numPr>
          <w:ilvl w:val="0"/>
          <w:numId w:val="14"/>
        </w:numPr>
        <w:spacing w:before="120" w:after="120"/>
        <w:rPr>
          <w:color w:val="000000"/>
        </w:r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18" w:history="1">
        <w:r w:rsidRPr="00CC4416">
          <w:rPr>
            <w:rStyle w:val="Hyperlink"/>
          </w:rPr>
          <w:t>Quit smoking.....for life!</w:t>
        </w:r>
      </w:hyperlink>
    </w:p>
    <w:p w14:paraId="5281A898" w14:textId="77777777" w:rsidR="00A7453C" w:rsidRPr="00CC6337" w:rsidRDefault="00A7453C" w:rsidP="00CC6337">
      <w:pPr>
        <w:pStyle w:val="Heading1"/>
        <w:spacing w:before="240" w:after="120"/>
        <w:rPr>
          <w:sz w:val="24"/>
          <w:szCs w:val="24"/>
        </w:rPr>
      </w:pPr>
      <w:r w:rsidRPr="00D04923">
        <w:rPr>
          <w:sz w:val="24"/>
          <w:szCs w:val="24"/>
        </w:rPr>
        <w:lastRenderedPageBreak/>
        <w:t xml:space="preserve">Organisational Chart </w:t>
      </w:r>
    </w:p>
    <w:bookmarkEnd w:id="0"/>
    <w:bookmarkEnd w:id="1"/>
    <w:p w14:paraId="1C537840" w14:textId="4B05228E" w:rsidR="002D74AA" w:rsidRDefault="00AE6B59" w:rsidP="00AE6B59">
      <w:pPr>
        <w:spacing w:before="120" w:after="120"/>
        <w:ind w:left="360"/>
      </w:pPr>
      <w:r>
        <w:rPr>
          <w:noProof/>
        </w:rPr>
        <w:drawing>
          <wp:inline distT="0" distB="0" distL="0" distR="0" wp14:anchorId="1F0B8385" wp14:editId="714F2909">
            <wp:extent cx="6480810" cy="5306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0810" cy="5306060"/>
                    </a:xfrm>
                    <a:prstGeom prst="rect">
                      <a:avLst/>
                    </a:prstGeom>
                  </pic:spPr>
                </pic:pic>
              </a:graphicData>
            </a:graphic>
          </wp:inline>
        </w:drawing>
      </w:r>
    </w:p>
    <w:sectPr w:rsidR="002D74AA" w:rsidSect="00FB7B3F">
      <w:footerReference w:type="default" r:id="rId20"/>
      <w:headerReference w:type="first" r:id="rId21"/>
      <w:footerReference w:type="first" r:id="rId22"/>
      <w:type w:val="continuous"/>
      <w:pgSz w:w="11906" w:h="16838" w:code="9"/>
      <w:pgMar w:top="709" w:right="849" w:bottom="1135" w:left="851" w:header="567" w:footer="161"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F5AE" w14:textId="77777777" w:rsidR="00E0553B" w:rsidRDefault="00E0553B" w:rsidP="00723663">
      <w:r>
        <w:separator/>
      </w:r>
    </w:p>
  </w:endnote>
  <w:endnote w:type="continuationSeparator" w:id="0">
    <w:p w14:paraId="66D366F0" w14:textId="77777777" w:rsidR="00E0553B" w:rsidRDefault="00E0553B"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Arial Bold">
    <w:altName w:val="Arial"/>
    <w:panose1 w:val="020B0704020202020204"/>
    <w:charset w:val="00"/>
    <w:family w:val="roman"/>
    <w:notTrueType/>
    <w:pitch w:val="default"/>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1C751367" wp14:editId="52760BFE">
          <wp:simplePos x="0" y="0"/>
          <wp:positionH relativeFrom="column">
            <wp:posOffset>5882005</wp:posOffset>
          </wp:positionH>
          <wp:positionV relativeFrom="paragraph">
            <wp:posOffset>-125095</wp:posOffset>
          </wp:positionV>
          <wp:extent cx="669290" cy="840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42323997" w14:textId="16B2BF7C" w:rsidR="00C72410" w:rsidRPr="00464480" w:rsidRDefault="00C72410" w:rsidP="00600593">
    <w:pPr>
      <w:tabs>
        <w:tab w:val="center" w:pos="5103"/>
        <w:tab w:val="right" w:pos="10489"/>
      </w:tabs>
      <w:rPr>
        <w:sz w:val="16"/>
        <w:szCs w:val="16"/>
      </w:rPr>
    </w:pPr>
    <w:r>
      <w:t>Version 1.</w:t>
    </w:r>
    <w:r w:rsidR="00C260CC">
      <w:t>6</w:t>
    </w:r>
    <w:r>
      <w:tab/>
    </w:r>
    <w:r w:rsidRPr="00464480">
      <w:rPr>
        <w:sz w:val="16"/>
        <w:szCs w:val="16"/>
      </w:rPr>
      <w:t xml:space="preserve">Created and endorsed: </w:t>
    </w:r>
    <w:r w:rsidR="00CC6337">
      <w:rPr>
        <w:sz w:val="16"/>
        <w:szCs w:val="16"/>
      </w:rPr>
      <w:t>August 2018</w:t>
    </w:r>
  </w:p>
  <w:p w14:paraId="1BD835B1" w14:textId="386103CB" w:rsidR="00C72410" w:rsidRDefault="00C72410" w:rsidP="00600593">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CC6337">
      <w:rPr>
        <w:sz w:val="16"/>
        <w:szCs w:val="16"/>
      </w:rPr>
      <w:t>December</w:t>
    </w:r>
    <w:r>
      <w:rPr>
        <w:sz w:val="16"/>
        <w:szCs w:val="16"/>
      </w:rPr>
      <w:t xml:space="preserve"> 2019</w:t>
    </w:r>
  </w:p>
  <w:p w14:paraId="7CDB41AF" w14:textId="5FA5E46C" w:rsidR="00564993" w:rsidRDefault="00564993" w:rsidP="00600593">
    <w:pPr>
      <w:tabs>
        <w:tab w:val="center" w:pos="5244"/>
        <w:tab w:val="right" w:pos="10489"/>
      </w:tabs>
      <w:jc w:val="center"/>
    </w:pPr>
    <w:r>
      <w:rPr>
        <w:sz w:val="16"/>
        <w:szCs w:val="16"/>
      </w:rPr>
      <w:t xml:space="preserve">Last update: </w:t>
    </w:r>
    <w:r w:rsidR="00891B5F">
      <w:rPr>
        <w:sz w:val="16"/>
        <w:szCs w:val="16"/>
      </w:rPr>
      <w:t>June</w:t>
    </w:r>
    <w:r w:rsidR="00C260CC">
      <w:rPr>
        <w:sz w:val="16"/>
        <w:szCs w:val="16"/>
      </w:rPr>
      <w:t xml:space="preserve"> 2023</w:t>
    </w:r>
  </w:p>
  <w:p w14:paraId="539780E2" w14:textId="77777777" w:rsidR="00C72410" w:rsidRDefault="00C72410">
    <w:pPr>
      <w:pStyle w:val="Footer"/>
    </w:pPr>
  </w:p>
  <w:p w14:paraId="76384A4C" w14:textId="77777777" w:rsidR="00C72410" w:rsidRDefault="00C7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B13A" w14:textId="77777777" w:rsidR="00E0553B" w:rsidRDefault="00E0553B" w:rsidP="00723663">
      <w:r>
        <w:separator/>
      </w:r>
    </w:p>
  </w:footnote>
  <w:footnote w:type="continuationSeparator" w:id="0">
    <w:p w14:paraId="72299C49" w14:textId="77777777" w:rsidR="00E0553B" w:rsidRDefault="00E0553B"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6" name="Picture 6"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5354E"/>
    <w:multiLevelType w:val="hybridMultilevel"/>
    <w:tmpl w:val="B0C406F0"/>
    <w:lvl w:ilvl="0" w:tplc="0C090001">
      <w:start w:val="1"/>
      <w:numFmt w:val="bullet"/>
      <w:lvlText w:val=""/>
      <w:lvlJc w:val="left"/>
      <w:pPr>
        <w:ind w:left="360" w:hanging="360"/>
      </w:pPr>
      <w:rPr>
        <w:rFonts w:ascii="Symbol" w:hAnsi="Symbol" w:hint="default"/>
      </w:rPr>
    </w:lvl>
    <w:lvl w:ilvl="1" w:tplc="9A80A35C">
      <w:numFmt w:val="bullet"/>
      <w:lvlText w:val="•"/>
      <w:lvlJc w:val="left"/>
      <w:pPr>
        <w:ind w:left="1080" w:hanging="36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2813830"/>
    <w:multiLevelType w:val="hybridMultilevel"/>
    <w:tmpl w:val="76F633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3"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8" w15:restartNumberingAfterBreak="0">
    <w:nsid w:val="52AA0A7D"/>
    <w:multiLevelType w:val="multilevel"/>
    <w:tmpl w:val="E9B44B6A"/>
    <w:numStyleLink w:val="ListParagraph"/>
  </w:abstractNum>
  <w:abstractNum w:abstractNumId="19"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0"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96964251">
    <w:abstractNumId w:val="19"/>
  </w:num>
  <w:num w:numId="2" w16cid:durableId="294144233">
    <w:abstractNumId w:val="5"/>
  </w:num>
  <w:num w:numId="3" w16cid:durableId="1867213759">
    <w:abstractNumId w:val="14"/>
  </w:num>
  <w:num w:numId="4" w16cid:durableId="1690370815">
    <w:abstractNumId w:val="4"/>
  </w:num>
  <w:num w:numId="5" w16cid:durableId="1706634735">
    <w:abstractNumId w:val="18"/>
  </w:num>
  <w:num w:numId="6" w16cid:durableId="83767460">
    <w:abstractNumId w:val="6"/>
  </w:num>
  <w:num w:numId="7" w16cid:durableId="1534806571">
    <w:abstractNumId w:val="9"/>
  </w:num>
  <w:num w:numId="8" w16cid:durableId="1553030530">
    <w:abstractNumId w:val="10"/>
  </w:num>
  <w:num w:numId="9" w16cid:durableId="1859344219">
    <w:abstractNumId w:val="3"/>
  </w:num>
  <w:num w:numId="10" w16cid:durableId="1532377690">
    <w:abstractNumId w:val="16"/>
  </w:num>
  <w:num w:numId="11" w16cid:durableId="1527133022">
    <w:abstractNumId w:val="2"/>
  </w:num>
  <w:num w:numId="12" w16cid:durableId="1161434810">
    <w:abstractNumId w:val="15"/>
  </w:num>
  <w:num w:numId="13" w16cid:durableId="825055004">
    <w:abstractNumId w:val="20"/>
  </w:num>
  <w:num w:numId="14" w16cid:durableId="918947552">
    <w:abstractNumId w:val="0"/>
  </w:num>
  <w:num w:numId="15" w16cid:durableId="330333842">
    <w:abstractNumId w:val="13"/>
  </w:num>
  <w:num w:numId="16" w16cid:durableId="1556117145">
    <w:abstractNumId w:val="7"/>
  </w:num>
  <w:num w:numId="17" w16cid:durableId="1923877831">
    <w:abstractNumId w:val="12"/>
  </w:num>
  <w:num w:numId="18" w16cid:durableId="304890691">
    <w:abstractNumId w:val="17"/>
  </w:num>
  <w:num w:numId="19" w16cid:durableId="960765978">
    <w:abstractNumId w:val="1"/>
  </w:num>
  <w:num w:numId="20" w16cid:durableId="1606228637">
    <w:abstractNumId w:val="8"/>
  </w:num>
  <w:num w:numId="21" w16cid:durableId="8881645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42B2"/>
    <w:rsid w:val="00026381"/>
    <w:rsid w:val="00026DE9"/>
    <w:rsid w:val="000527BA"/>
    <w:rsid w:val="000638C5"/>
    <w:rsid w:val="00064165"/>
    <w:rsid w:val="000A2AB5"/>
    <w:rsid w:val="000B5F0A"/>
    <w:rsid w:val="000B7A6F"/>
    <w:rsid w:val="000D29BE"/>
    <w:rsid w:val="000D65EE"/>
    <w:rsid w:val="000E093D"/>
    <w:rsid w:val="000E62EF"/>
    <w:rsid w:val="00116B2A"/>
    <w:rsid w:val="001215B8"/>
    <w:rsid w:val="00127C38"/>
    <w:rsid w:val="001364FD"/>
    <w:rsid w:val="00137E83"/>
    <w:rsid w:val="00142153"/>
    <w:rsid w:val="001479BA"/>
    <w:rsid w:val="00154509"/>
    <w:rsid w:val="00155828"/>
    <w:rsid w:val="001669FD"/>
    <w:rsid w:val="00174E88"/>
    <w:rsid w:val="001927F8"/>
    <w:rsid w:val="001C7BD5"/>
    <w:rsid w:val="001D33E7"/>
    <w:rsid w:val="001E544B"/>
    <w:rsid w:val="001E6C20"/>
    <w:rsid w:val="00215B18"/>
    <w:rsid w:val="00232628"/>
    <w:rsid w:val="00233FC9"/>
    <w:rsid w:val="00272E2D"/>
    <w:rsid w:val="0028570C"/>
    <w:rsid w:val="002A3907"/>
    <w:rsid w:val="002C5078"/>
    <w:rsid w:val="002D3993"/>
    <w:rsid w:val="002D74AA"/>
    <w:rsid w:val="002E044E"/>
    <w:rsid w:val="003049E6"/>
    <w:rsid w:val="00306E07"/>
    <w:rsid w:val="003101C7"/>
    <w:rsid w:val="0031672F"/>
    <w:rsid w:val="00316BCD"/>
    <w:rsid w:val="00345686"/>
    <w:rsid w:val="0036693A"/>
    <w:rsid w:val="00382B6C"/>
    <w:rsid w:val="003A48BD"/>
    <w:rsid w:val="003B7A3F"/>
    <w:rsid w:val="003D7891"/>
    <w:rsid w:val="003E036A"/>
    <w:rsid w:val="003E3532"/>
    <w:rsid w:val="003F789E"/>
    <w:rsid w:val="004017F0"/>
    <w:rsid w:val="00410948"/>
    <w:rsid w:val="00422648"/>
    <w:rsid w:val="004358C2"/>
    <w:rsid w:val="00446BFB"/>
    <w:rsid w:val="00451D5B"/>
    <w:rsid w:val="00461D31"/>
    <w:rsid w:val="00474AD1"/>
    <w:rsid w:val="0047551F"/>
    <w:rsid w:val="00480C65"/>
    <w:rsid w:val="004A7229"/>
    <w:rsid w:val="004B00B7"/>
    <w:rsid w:val="004B6712"/>
    <w:rsid w:val="004D0C14"/>
    <w:rsid w:val="004F547C"/>
    <w:rsid w:val="0050261F"/>
    <w:rsid w:val="0050629E"/>
    <w:rsid w:val="0052610B"/>
    <w:rsid w:val="00552B85"/>
    <w:rsid w:val="00564993"/>
    <w:rsid w:val="00567DCF"/>
    <w:rsid w:val="005720B9"/>
    <w:rsid w:val="00572D1F"/>
    <w:rsid w:val="005800BE"/>
    <w:rsid w:val="005811D1"/>
    <w:rsid w:val="005971ED"/>
    <w:rsid w:val="005B54F0"/>
    <w:rsid w:val="005B7E6B"/>
    <w:rsid w:val="005C3AA1"/>
    <w:rsid w:val="005C7C74"/>
    <w:rsid w:val="005D0167"/>
    <w:rsid w:val="005D230F"/>
    <w:rsid w:val="005E28C7"/>
    <w:rsid w:val="005E7363"/>
    <w:rsid w:val="006001B8"/>
    <w:rsid w:val="00600593"/>
    <w:rsid w:val="0062636B"/>
    <w:rsid w:val="0065010A"/>
    <w:rsid w:val="006508BC"/>
    <w:rsid w:val="0066311F"/>
    <w:rsid w:val="00687C02"/>
    <w:rsid w:val="006A1683"/>
    <w:rsid w:val="006B3962"/>
    <w:rsid w:val="006C0E44"/>
    <w:rsid w:val="006C4FCD"/>
    <w:rsid w:val="006D0788"/>
    <w:rsid w:val="006D5405"/>
    <w:rsid w:val="006D7642"/>
    <w:rsid w:val="006F2DBF"/>
    <w:rsid w:val="00723663"/>
    <w:rsid w:val="0073495D"/>
    <w:rsid w:val="00734F5E"/>
    <w:rsid w:val="007405A4"/>
    <w:rsid w:val="00741209"/>
    <w:rsid w:val="00757F57"/>
    <w:rsid w:val="007756D6"/>
    <w:rsid w:val="00787153"/>
    <w:rsid w:val="007B215D"/>
    <w:rsid w:val="007B21CD"/>
    <w:rsid w:val="007B4146"/>
    <w:rsid w:val="007C38B8"/>
    <w:rsid w:val="008011C6"/>
    <w:rsid w:val="00810D79"/>
    <w:rsid w:val="00834296"/>
    <w:rsid w:val="0083684A"/>
    <w:rsid w:val="00837916"/>
    <w:rsid w:val="00844CD8"/>
    <w:rsid w:val="00862690"/>
    <w:rsid w:val="00871E2F"/>
    <w:rsid w:val="008832DD"/>
    <w:rsid w:val="008836DE"/>
    <w:rsid w:val="00890B9B"/>
    <w:rsid w:val="00891B5F"/>
    <w:rsid w:val="008A5EF4"/>
    <w:rsid w:val="008C110A"/>
    <w:rsid w:val="008C1FE7"/>
    <w:rsid w:val="008D50BA"/>
    <w:rsid w:val="008E2C24"/>
    <w:rsid w:val="008E473D"/>
    <w:rsid w:val="00903AF7"/>
    <w:rsid w:val="0091290E"/>
    <w:rsid w:val="00935303"/>
    <w:rsid w:val="00937746"/>
    <w:rsid w:val="00953967"/>
    <w:rsid w:val="0096154E"/>
    <w:rsid w:val="00962672"/>
    <w:rsid w:val="00966307"/>
    <w:rsid w:val="00971B14"/>
    <w:rsid w:val="00977A85"/>
    <w:rsid w:val="0098071F"/>
    <w:rsid w:val="00981D5D"/>
    <w:rsid w:val="009A606B"/>
    <w:rsid w:val="009C07A8"/>
    <w:rsid w:val="009E20E4"/>
    <w:rsid w:val="009E2F07"/>
    <w:rsid w:val="009E376F"/>
    <w:rsid w:val="009F2D93"/>
    <w:rsid w:val="009F3881"/>
    <w:rsid w:val="00A11238"/>
    <w:rsid w:val="00A15423"/>
    <w:rsid w:val="00A27DFC"/>
    <w:rsid w:val="00A33F0F"/>
    <w:rsid w:val="00A34437"/>
    <w:rsid w:val="00A50716"/>
    <w:rsid w:val="00A50791"/>
    <w:rsid w:val="00A5116C"/>
    <w:rsid w:val="00A55A6B"/>
    <w:rsid w:val="00A62D3C"/>
    <w:rsid w:val="00A7453C"/>
    <w:rsid w:val="00A90F2C"/>
    <w:rsid w:val="00AA74A3"/>
    <w:rsid w:val="00AA751D"/>
    <w:rsid w:val="00AB2F2E"/>
    <w:rsid w:val="00AD0F7D"/>
    <w:rsid w:val="00AD4AF0"/>
    <w:rsid w:val="00AE6B59"/>
    <w:rsid w:val="00AF1FD1"/>
    <w:rsid w:val="00B025B0"/>
    <w:rsid w:val="00B119B0"/>
    <w:rsid w:val="00B23013"/>
    <w:rsid w:val="00B30147"/>
    <w:rsid w:val="00B35C6A"/>
    <w:rsid w:val="00B479C1"/>
    <w:rsid w:val="00B5088D"/>
    <w:rsid w:val="00B531DD"/>
    <w:rsid w:val="00B7182D"/>
    <w:rsid w:val="00B730F5"/>
    <w:rsid w:val="00B742E4"/>
    <w:rsid w:val="00BA071C"/>
    <w:rsid w:val="00BC610A"/>
    <w:rsid w:val="00BD33D2"/>
    <w:rsid w:val="00BE5724"/>
    <w:rsid w:val="00C01916"/>
    <w:rsid w:val="00C15284"/>
    <w:rsid w:val="00C260CC"/>
    <w:rsid w:val="00C41B4E"/>
    <w:rsid w:val="00C4439F"/>
    <w:rsid w:val="00C525BA"/>
    <w:rsid w:val="00C5799F"/>
    <w:rsid w:val="00C61651"/>
    <w:rsid w:val="00C63B87"/>
    <w:rsid w:val="00C72410"/>
    <w:rsid w:val="00C73FBE"/>
    <w:rsid w:val="00C97D7D"/>
    <w:rsid w:val="00CB3AC9"/>
    <w:rsid w:val="00CC047A"/>
    <w:rsid w:val="00CC2808"/>
    <w:rsid w:val="00CC4416"/>
    <w:rsid w:val="00CC6337"/>
    <w:rsid w:val="00CE4778"/>
    <w:rsid w:val="00D04923"/>
    <w:rsid w:val="00D35ACC"/>
    <w:rsid w:val="00D35D74"/>
    <w:rsid w:val="00D37334"/>
    <w:rsid w:val="00D43E03"/>
    <w:rsid w:val="00D70647"/>
    <w:rsid w:val="00D707E5"/>
    <w:rsid w:val="00D80AF7"/>
    <w:rsid w:val="00D81532"/>
    <w:rsid w:val="00D82BCA"/>
    <w:rsid w:val="00D85B45"/>
    <w:rsid w:val="00D9169D"/>
    <w:rsid w:val="00D95EE2"/>
    <w:rsid w:val="00DB0DD8"/>
    <w:rsid w:val="00DB59D9"/>
    <w:rsid w:val="00DB600E"/>
    <w:rsid w:val="00DC352F"/>
    <w:rsid w:val="00DC7A8E"/>
    <w:rsid w:val="00DD4430"/>
    <w:rsid w:val="00DD70F0"/>
    <w:rsid w:val="00DE1DCD"/>
    <w:rsid w:val="00E0553B"/>
    <w:rsid w:val="00E235FD"/>
    <w:rsid w:val="00E53F75"/>
    <w:rsid w:val="00E71231"/>
    <w:rsid w:val="00E87A8D"/>
    <w:rsid w:val="00E914DC"/>
    <w:rsid w:val="00EB3276"/>
    <w:rsid w:val="00EE47F8"/>
    <w:rsid w:val="00F00E67"/>
    <w:rsid w:val="00F07AF9"/>
    <w:rsid w:val="00F118C3"/>
    <w:rsid w:val="00F13EBF"/>
    <w:rsid w:val="00F340CE"/>
    <w:rsid w:val="00F35A09"/>
    <w:rsid w:val="00F62FCC"/>
    <w:rsid w:val="00F647CE"/>
    <w:rsid w:val="00F64E68"/>
    <w:rsid w:val="00F662AF"/>
    <w:rsid w:val="00F76B3C"/>
    <w:rsid w:val="00F77B65"/>
    <w:rsid w:val="00F904D9"/>
    <w:rsid w:val="00FA6069"/>
    <w:rsid w:val="00FB1630"/>
    <w:rsid w:val="00FB7B3F"/>
    <w:rsid w:val="00FC0BC3"/>
    <w:rsid w:val="00FC7037"/>
    <w:rsid w:val="00FD1621"/>
    <w:rsid w:val="00FD754F"/>
    <w:rsid w:val="00FF09A2"/>
    <w:rsid w:val="00FF0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 w:type="paragraph" w:customStyle="1" w:styleId="Default">
    <w:name w:val="Default"/>
    <w:rsid w:val="00AE6B59"/>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image" Target="media/image1.png"/><Relationship Id="rId18" Type="http://schemas.openxmlformats.org/officeDocument/2006/relationships/hyperlink" Target="https://qheps.health.qld.gov.au/smoke-free/quitsmok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qheps.health.qld.gov.au/__data/assets/pdf_file/0035/2801978/strategic-plan.pdf" TargetMode="External"/><Relationship Id="rId17" Type="http://schemas.openxmlformats.org/officeDocument/2006/relationships/hyperlink" Target="https://www.legislation.qld.gov.au/legisltn/current/w/workerscompa03.pdf" TargetMode="External"/><Relationship Id="rId2" Type="http://schemas.openxmlformats.org/officeDocument/2006/relationships/numbering" Target="numbering.xml"/><Relationship Id="rId16" Type="http://schemas.openxmlformats.org/officeDocument/2006/relationships/hyperlink" Target="https://www.qld.gov.au/gov/documents/policy/lobbyist-disclos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wnsville.health.qld.gov.au/about-us/health-equity/" TargetMode="External"/><Relationship Id="rId23" Type="http://schemas.openxmlformats.org/officeDocument/2006/relationships/fontTable" Target="fontTable.xml"/><Relationship Id="rId10" Type="http://schemas.openxmlformats.org/officeDocument/2006/relationships/hyperlink" Target="https://www.legislation.qld.gov.au/LEGISLTN/CURRENT/W/WorkHSA11.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www.townsville.health.qld.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1</TotalTime>
  <Pages>6</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17680</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Role Description Template | Townsville HHS | Employment Services</dc:description>
  <cp:lastModifiedBy>Kylie Dunn</cp:lastModifiedBy>
  <cp:revision>2</cp:revision>
  <cp:lastPrinted>2018-01-31T06:39:00Z</cp:lastPrinted>
  <dcterms:created xsi:type="dcterms:W3CDTF">2024-03-11T23:46:00Z</dcterms:created>
  <dcterms:modified xsi:type="dcterms:W3CDTF">2024-03-11T23:46:00Z</dcterms:modified>
  <cp:category>Role Description</cp:category>
</cp:coreProperties>
</file>