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47279C4E" w14:textId="20552CBE" w:rsidR="00E25F97" w:rsidRPr="0024413D" w:rsidRDefault="00825CCD" w:rsidP="00E25F97">
      <w:pPr>
        <w:pStyle w:val="Default"/>
        <w:spacing w:before="120" w:after="120" w:line="260" w:lineRule="atLeast"/>
        <w:rPr>
          <w:sz w:val="44"/>
          <w:szCs w:val="44"/>
        </w:rPr>
      </w:pPr>
      <w:r>
        <w:rPr>
          <w:sz w:val="44"/>
          <w:szCs w:val="44"/>
        </w:rPr>
        <w:t>Lead Inspector</w:t>
      </w:r>
      <w:r w:rsidR="00E25F97">
        <w:rPr>
          <w:sz w:val="44"/>
          <w:szCs w:val="44"/>
        </w:rPr>
        <w:t xml:space="preserve"> </w:t>
      </w:r>
      <w:r w:rsidR="001266EB">
        <w:rPr>
          <w:sz w:val="44"/>
          <w:szCs w:val="44"/>
        </w:rPr>
        <w:t>(</w:t>
      </w:r>
      <w:r w:rsidR="008268BE">
        <w:rPr>
          <w:sz w:val="44"/>
          <w:szCs w:val="44"/>
        </w:rPr>
        <w:t>Construction</w:t>
      </w:r>
      <w:r w:rsidR="001266EB">
        <w:rPr>
          <w:sz w:val="44"/>
          <w:szCs w:val="44"/>
        </w:rPr>
        <w:t>)</w:t>
      </w:r>
      <w:r w:rsidR="000A2E38">
        <w:rPr>
          <w:sz w:val="44"/>
          <w:szCs w:val="44"/>
        </w:rPr>
        <w:t xml:space="preserve"> </w:t>
      </w:r>
      <w:r w:rsidR="00E25F97">
        <w:rPr>
          <w:sz w:val="44"/>
          <w:szCs w:val="44"/>
        </w:rPr>
        <w:t>(</w:t>
      </w:r>
      <w:r w:rsidR="00160222">
        <w:rPr>
          <w:sz w:val="44"/>
          <w:szCs w:val="44"/>
        </w:rPr>
        <w:t>AO7</w:t>
      </w:r>
      <w:r w:rsidR="00E25F97">
        <w:rPr>
          <w:sz w:val="44"/>
          <w:szCs w:val="44"/>
        </w:rPr>
        <w:t>)</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343A9B84" w:rsidR="00F51A05" w:rsidRPr="000D7A82" w:rsidRDefault="00E05EF9" w:rsidP="000D7A82">
            <w:pPr>
              <w:pStyle w:val="Default"/>
              <w:spacing w:before="60" w:after="60"/>
              <w:rPr>
                <w:b/>
                <w:bCs/>
                <w:sz w:val="18"/>
                <w:szCs w:val="18"/>
              </w:rPr>
            </w:pPr>
            <w:r>
              <w:rPr>
                <w:sz w:val="18"/>
                <w:szCs w:val="18"/>
              </w:rPr>
              <w:t>cfsemp</w:t>
            </w:r>
            <w:r w:rsidR="00636002" w:rsidRPr="00636002">
              <w:rPr>
                <w:sz w:val="18"/>
                <w:szCs w:val="18"/>
              </w:rPr>
              <w:t>@oir.qld.gov.au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6CFB1811" w:rsidR="00F51A05" w:rsidRPr="000D7A82" w:rsidRDefault="00FE1376" w:rsidP="000D7A82">
            <w:pPr>
              <w:pStyle w:val="Default"/>
              <w:spacing w:before="60" w:after="60"/>
              <w:rPr>
                <w:sz w:val="18"/>
                <w:szCs w:val="18"/>
              </w:rPr>
            </w:pPr>
            <w:r>
              <w:rPr>
                <w:sz w:val="18"/>
                <w:szCs w:val="18"/>
              </w:rPr>
              <w:t>$127,26</w:t>
            </w:r>
            <w:r w:rsidR="009E6154">
              <w:rPr>
                <w:sz w:val="18"/>
                <w:szCs w:val="18"/>
              </w:rPr>
              <w:t>3</w:t>
            </w:r>
            <w:r>
              <w:rPr>
                <w:sz w:val="18"/>
                <w:szCs w:val="18"/>
              </w:rPr>
              <w:t xml:space="preserve"> to </w:t>
            </w:r>
            <w:r w:rsidR="009E6154">
              <w:rPr>
                <w:sz w:val="18"/>
                <w:szCs w:val="18"/>
              </w:rPr>
              <w:t>$</w:t>
            </w:r>
            <w:r>
              <w:rPr>
                <w:sz w:val="18"/>
                <w:szCs w:val="18"/>
              </w:rPr>
              <w:t>136,293</w:t>
            </w:r>
            <w:r w:rsidR="000D7A82">
              <w:rPr>
                <w:sz w:val="18"/>
                <w:szCs w:val="18"/>
              </w:rPr>
              <w:t>*</w:t>
            </w:r>
          </w:p>
          <w:p w14:paraId="35F32A7C" w14:textId="77777777" w:rsidR="00F51A05" w:rsidRPr="000D7A82" w:rsidRDefault="00F51A05" w:rsidP="000D7A82">
            <w:pPr>
              <w:pStyle w:val="Default"/>
              <w:spacing w:before="60" w:after="60"/>
              <w:rPr>
                <w:sz w:val="18"/>
                <w:szCs w:val="18"/>
              </w:rPr>
            </w:pPr>
            <w:r w:rsidRPr="000D7A82">
              <w:rPr>
                <w:sz w:val="18"/>
                <w:szCs w:val="18"/>
              </w:rPr>
              <w:t>*</w:t>
            </w:r>
            <w:r w:rsidR="00255758">
              <w:rPr>
                <w:sz w:val="18"/>
                <w:szCs w:val="18"/>
              </w:rPr>
              <w:t>plus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2A93A3B8" w:rsidR="00F51A05" w:rsidRPr="000D7A82" w:rsidRDefault="00F51A05" w:rsidP="000D7A82">
            <w:pPr>
              <w:pStyle w:val="Default"/>
              <w:spacing w:before="60" w:after="60"/>
              <w:rPr>
                <w:b/>
                <w:bCs/>
                <w:sz w:val="18"/>
                <w:szCs w:val="18"/>
              </w:rPr>
            </w:pPr>
            <w:r w:rsidRPr="000D7A82">
              <w:rPr>
                <w:sz w:val="18"/>
                <w:szCs w:val="18"/>
              </w:rPr>
              <w:t>QLD/</w:t>
            </w:r>
            <w:r w:rsidR="009E6154">
              <w:rPr>
                <w:sz w:val="18"/>
                <w:szCs w:val="18"/>
              </w:rPr>
              <w:t>558136/24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348AFB14" w:rsidR="00F51A05" w:rsidRPr="000D7A82" w:rsidRDefault="00451BE3"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2A11C3BA" w14:textId="63D5CF79" w:rsidR="00825CCD" w:rsidRPr="00825CCD" w:rsidRDefault="00825CCD" w:rsidP="00825CCD">
      <w:pPr>
        <w:pStyle w:val="Default"/>
        <w:spacing w:before="120" w:after="120" w:line="260" w:lineRule="atLeast"/>
        <w:rPr>
          <w:sz w:val="22"/>
          <w:szCs w:val="22"/>
        </w:rPr>
      </w:pPr>
      <w:r w:rsidRPr="00825CCD">
        <w:rPr>
          <w:sz w:val="22"/>
          <w:szCs w:val="22"/>
        </w:rPr>
        <w:t xml:space="preserve">The Lead Inspector </w:t>
      </w:r>
      <w:r w:rsidR="001266EB">
        <w:rPr>
          <w:sz w:val="22"/>
          <w:szCs w:val="22"/>
        </w:rPr>
        <w:t>(</w:t>
      </w:r>
      <w:r w:rsidR="008268BE">
        <w:rPr>
          <w:sz w:val="22"/>
          <w:szCs w:val="22"/>
        </w:rPr>
        <w:t>Construction</w:t>
      </w:r>
      <w:r w:rsidR="001266EB">
        <w:rPr>
          <w:sz w:val="22"/>
          <w:szCs w:val="22"/>
        </w:rPr>
        <w:t xml:space="preserve">) </w:t>
      </w:r>
      <w:r w:rsidRPr="00825CCD">
        <w:rPr>
          <w:sz w:val="22"/>
          <w:szCs w:val="22"/>
        </w:rPr>
        <w:t>is a senior field-based position operating within an efficient, flexible and responsive statewide team of inspectors. This role will support the Operations Manager by assisting with operational requirements and providing supervision, mentoring and coaching to inspectors in the field.</w:t>
      </w:r>
    </w:p>
    <w:p w14:paraId="5E194183" w14:textId="77777777"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015563DC"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Utilise the powers appointed to inspectors according to the Work Health and Safety Act 2011 and the Electrical Safety Act 2002 to assist the government in meeting the objectives of these Acts;</w:t>
      </w:r>
    </w:p>
    <w:p w14:paraId="43E4924A" w14:textId="77777777" w:rsidR="00825CCD" w:rsidRDefault="00825CCD" w:rsidP="00825CCD">
      <w:pPr>
        <w:pStyle w:val="Default"/>
        <w:numPr>
          <w:ilvl w:val="0"/>
          <w:numId w:val="12"/>
        </w:numPr>
        <w:spacing w:before="120" w:after="120" w:line="260" w:lineRule="atLeast"/>
        <w:rPr>
          <w:sz w:val="22"/>
          <w:szCs w:val="22"/>
        </w:rPr>
      </w:pPr>
      <w:r w:rsidRPr="00825CCD">
        <w:rPr>
          <w:sz w:val="22"/>
          <w:szCs w:val="22"/>
        </w:rPr>
        <w:t>Provide operational leadership and oversight of state-wide compliance campaigns such as safety blitzes and industry audits;</w:t>
      </w:r>
    </w:p>
    <w:p w14:paraId="707C6846" w14:textId="5A60E134" w:rsidR="008D2373" w:rsidRDefault="008D2373" w:rsidP="00825CCD">
      <w:pPr>
        <w:pStyle w:val="Default"/>
        <w:numPr>
          <w:ilvl w:val="0"/>
          <w:numId w:val="12"/>
        </w:numPr>
        <w:spacing w:before="120" w:after="120" w:line="260" w:lineRule="atLeast"/>
        <w:rPr>
          <w:sz w:val="22"/>
          <w:szCs w:val="22"/>
        </w:rPr>
      </w:pPr>
      <w:r>
        <w:rPr>
          <w:sz w:val="22"/>
          <w:szCs w:val="22"/>
        </w:rPr>
        <w:t>Provide a high level site response to workplace fatalities, serious incidents and complaints in line with the powers appointed to Inspectors.</w:t>
      </w:r>
    </w:p>
    <w:p w14:paraId="5BFE9A4D" w14:textId="121A9710" w:rsidR="00272597" w:rsidRPr="007734DA" w:rsidRDefault="00272597" w:rsidP="007734DA">
      <w:pPr>
        <w:pStyle w:val="Default"/>
        <w:numPr>
          <w:ilvl w:val="0"/>
          <w:numId w:val="12"/>
        </w:numPr>
        <w:spacing w:before="120" w:after="120" w:line="260" w:lineRule="atLeast"/>
        <w:rPr>
          <w:sz w:val="22"/>
          <w:szCs w:val="22"/>
        </w:rPr>
      </w:pPr>
      <w:r>
        <w:rPr>
          <w:sz w:val="22"/>
          <w:szCs w:val="22"/>
        </w:rPr>
        <w:t>C</w:t>
      </w:r>
      <w:r w:rsidRPr="007734DA">
        <w:rPr>
          <w:sz w:val="22"/>
          <w:szCs w:val="22"/>
        </w:rPr>
        <w:t xml:space="preserve">onduct investigations into </w:t>
      </w:r>
      <w:r>
        <w:rPr>
          <w:sz w:val="22"/>
          <w:szCs w:val="22"/>
        </w:rPr>
        <w:t>offences under the Act including the preparation of briefs of evidence.</w:t>
      </w:r>
    </w:p>
    <w:p w14:paraId="32CCF089"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Lead a team of field-based inspectors in targeted assessment programs which monitor and assess compliance with workplace health and safety legislation, and provide reports on team outcomes in accordance with procedures, objectives and performance standards adopted by OIR;</w:t>
      </w:r>
    </w:p>
    <w:p w14:paraId="7B3479EE"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Develop and maintain effective relationships and strategic networks with key internal and external stakeholders, client groups, duty holders and industry leaders to share information, identify on-going and emerging and issues and trends, and provide high level advice to the Operations Manager;</w:t>
      </w:r>
    </w:p>
    <w:p w14:paraId="27368836"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Utilise departmental and regional protocols, processes and systems to prioritise complaints and incidents and to allocate work such as investigations, complaints and assessments to inspectors in an equitable manner within a team environment to achieve regional targets within set timeframes;</w:t>
      </w:r>
    </w:p>
    <w:p w14:paraId="7214570E"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Produce complex reports and conduct reviews of technical information arising out of serious workplace incidents, complaints and assessments;</w:t>
      </w:r>
    </w:p>
    <w:p w14:paraId="2F2FD58B" w14:textId="77777777" w:rsidR="007734DA" w:rsidRDefault="007734DA">
      <w:pPr>
        <w:rPr>
          <w:rFonts w:cs="Arial"/>
          <w:color w:val="000000"/>
          <w:sz w:val="22"/>
          <w14:ligatures w14:val="standardContextual"/>
        </w:rPr>
      </w:pPr>
      <w:r>
        <w:rPr>
          <w:sz w:val="22"/>
        </w:rPr>
        <w:br w:type="page"/>
      </w:r>
    </w:p>
    <w:p w14:paraId="115CB351" w14:textId="3C414639"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lastRenderedPageBreak/>
        <w:t xml:space="preserve">Take an active role in the professional development of inspectors in a field environment by </w:t>
      </w:r>
      <w:r w:rsidR="001D53A9">
        <w:rPr>
          <w:sz w:val="22"/>
          <w:szCs w:val="22"/>
        </w:rPr>
        <w:t xml:space="preserve">training, </w:t>
      </w:r>
      <w:r w:rsidRPr="00825CCD">
        <w:rPr>
          <w:sz w:val="22"/>
          <w:szCs w:val="22"/>
        </w:rPr>
        <w:t xml:space="preserve">mentoring, coaching and supervising their work activities, and providing guidance and performance  </w:t>
      </w:r>
      <w:r w:rsidR="001D53A9">
        <w:rPr>
          <w:sz w:val="22"/>
          <w:szCs w:val="22"/>
        </w:rPr>
        <w:t xml:space="preserve">conversations </w:t>
      </w:r>
      <w:r w:rsidRPr="00825CCD">
        <w:rPr>
          <w:sz w:val="22"/>
          <w:szCs w:val="22"/>
        </w:rPr>
        <w:t>as required; and</w:t>
      </w:r>
    </w:p>
    <w:p w14:paraId="2C57EE63"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Model professional and ethical behaviour and act in accordance with the Queensland Public Service legislative framework and Code of Conduct.</w:t>
      </w:r>
    </w:p>
    <w:p w14:paraId="3BEA4072" w14:textId="77777777" w:rsidR="007734DA" w:rsidRDefault="007734DA" w:rsidP="005429BD">
      <w:pPr>
        <w:pStyle w:val="Default"/>
        <w:spacing w:before="120" w:after="120" w:line="260" w:lineRule="atLeast"/>
        <w:rPr>
          <w:sz w:val="22"/>
          <w:szCs w:val="22"/>
        </w:rPr>
      </w:pPr>
    </w:p>
    <w:p w14:paraId="34EA72B1" w14:textId="3E46C46C"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3A44955F" w14:textId="35D3B714" w:rsidR="00CD5866" w:rsidRPr="00825CCD" w:rsidRDefault="00CD5866" w:rsidP="00825CCD">
            <w:pPr>
              <w:pStyle w:val="Default"/>
              <w:numPr>
                <w:ilvl w:val="0"/>
                <w:numId w:val="12"/>
              </w:numPr>
              <w:spacing w:before="120" w:after="120" w:line="260" w:lineRule="atLeast"/>
              <w:rPr>
                <w:sz w:val="22"/>
                <w:szCs w:val="22"/>
              </w:rPr>
            </w:pPr>
            <w:r w:rsidRPr="00825CCD">
              <w:rPr>
                <w:sz w:val="22"/>
                <w:szCs w:val="22"/>
              </w:rPr>
              <w:t xml:space="preserve">While there are no mandatory qualifications for this role, </w:t>
            </w:r>
            <w:r w:rsidR="00825CCD" w:rsidRPr="00825CCD">
              <w:rPr>
                <w:sz w:val="22"/>
                <w:szCs w:val="22"/>
              </w:rPr>
              <w:t>a degree is desirable but not required to perform this role.</w:t>
            </w:r>
          </w:p>
          <w:p w14:paraId="14328CD7" w14:textId="0BE09EFD" w:rsidR="00825CCD" w:rsidRPr="00825CCD" w:rsidRDefault="00825CCD" w:rsidP="00825CCD">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7251CD93" w14:textId="52A5D207" w:rsidR="00825CCD" w:rsidRPr="00825CCD" w:rsidRDefault="00825CCD" w:rsidP="00825CCD">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47486674" w14:textId="6892F882" w:rsidR="00825CCD" w:rsidRPr="00825CCD" w:rsidRDefault="00825CCD" w:rsidP="00825CCD">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3F8F5944" w14:textId="3845CD0E" w:rsidR="00825CCD" w:rsidRDefault="00825CCD" w:rsidP="00825CCD">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 xml:space="preserve">required to inspect workplaces where there is a risk of exposure to pathogens. </w:t>
            </w:r>
          </w:p>
          <w:p w14:paraId="37C0947E" w14:textId="1103C504" w:rsidR="001D53A9" w:rsidRPr="00825CCD" w:rsidRDefault="001D53A9" w:rsidP="00825CCD">
            <w:pPr>
              <w:pStyle w:val="Default"/>
              <w:numPr>
                <w:ilvl w:val="0"/>
                <w:numId w:val="12"/>
              </w:numPr>
              <w:spacing w:before="120" w:after="120" w:line="260" w:lineRule="atLeast"/>
              <w:rPr>
                <w:sz w:val="22"/>
                <w:szCs w:val="22"/>
              </w:rPr>
            </w:pPr>
            <w:r>
              <w:rPr>
                <w:sz w:val="22"/>
                <w:szCs w:val="22"/>
              </w:rPr>
              <w:t>Consent to the mandatory requirement of respiratory protective equipment (RPE) fit testing</w:t>
            </w:r>
          </w:p>
          <w:p w14:paraId="63450340" w14:textId="0E745BB8" w:rsidR="0093745A" w:rsidRPr="00825CCD" w:rsidRDefault="00825CCD" w:rsidP="001266EB">
            <w:pPr>
              <w:pStyle w:val="Default"/>
              <w:numPr>
                <w:ilvl w:val="0"/>
                <w:numId w:val="12"/>
              </w:numPr>
              <w:spacing w:before="120" w:after="120" w:line="260" w:lineRule="atLeast"/>
              <w:rPr>
                <w:sz w:val="22"/>
                <w:szCs w:val="22"/>
              </w:rPr>
            </w:pPr>
            <w:r>
              <w:rPr>
                <w:sz w:val="22"/>
                <w:szCs w:val="22"/>
              </w:rPr>
              <w:t>P</w:t>
            </w:r>
            <w:r w:rsidRPr="00825CCD">
              <w:rPr>
                <w:sz w:val="22"/>
                <w:szCs w:val="22"/>
              </w:rPr>
              <w:t>articipate in on-call and weekend roster work</w:t>
            </w:r>
            <w:r w:rsidR="001266EB">
              <w:rPr>
                <w:sz w:val="22"/>
                <w:szCs w:val="22"/>
              </w:rPr>
              <w:t>.</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2"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2E026C77"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record of achievement in leading a high performing team of field-based inspectors, supporting others and improving efficiencies through effective planning, allocation and monitoring of resources and achieving desired outcomes in high pressure environments, preferably in a regulatory environment;</w:t>
            </w:r>
          </w:p>
          <w:p w14:paraId="2E07E91F"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Display flexibility, resilience and proven ability to advance an organisational culture that values performance, innovation, continuous improvement and best practice outcomes;</w:t>
            </w:r>
          </w:p>
          <w:p w14:paraId="00872694"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high level interpersonal, consultative, written and negotiation skills and proven ability to communicate effectively, resolve disputes and influence both staff and a wide range of internal and external stakeholders at all levels;</w:t>
            </w:r>
          </w:p>
          <w:p w14:paraId="5BDFA6D9"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proven ability to apply contemporary occupational health and safety legislation and risk management principles, develop best practice approaches and provide technical leadership and advice for the reduction of workplace risks in a range of high-risk workplaces; and</w:t>
            </w:r>
          </w:p>
          <w:p w14:paraId="2E10BDAF"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lastRenderedPageBreak/>
              <w:t>Demonstrate your highly developed analytical, conceptual and investigation skills and experience in gathering evidence, determining the circumstances and outcomes arising from complex workplace incidents, complaints and assessments and producing complex technical reports.</w:t>
            </w:r>
          </w:p>
          <w:p w14:paraId="7BEF0B41" w14:textId="77777777" w:rsidR="00160222" w:rsidRPr="00E25F97" w:rsidRDefault="00160222" w:rsidP="00160222">
            <w:pPr>
              <w:pStyle w:val="Default"/>
              <w:spacing w:before="120" w:after="120" w:line="260" w:lineRule="atLeast"/>
              <w:ind w:left="720"/>
              <w:rPr>
                <w:sz w:val="22"/>
                <w:szCs w:val="22"/>
              </w:rPr>
            </w:pPr>
          </w:p>
        </w:tc>
      </w:tr>
    </w:tbl>
    <w:p w14:paraId="4EF6FA78" w14:textId="24B72DC2" w:rsidR="00CA3A0E" w:rsidRPr="00027035" w:rsidRDefault="00811F17" w:rsidP="00825CCD">
      <w:pPr>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3"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3F1117E2" w14:textId="77777777" w:rsidR="00F9789F" w:rsidRPr="005D42EA" w:rsidRDefault="0060790E" w:rsidP="00F9789F">
      <w:pPr>
        <w:pStyle w:val="Default"/>
        <w:spacing w:before="120" w:after="120" w:line="260" w:lineRule="atLeast"/>
        <w:rPr>
          <w:sz w:val="22"/>
          <w:szCs w:val="22"/>
        </w:rPr>
      </w:pPr>
      <w:r w:rsidRPr="005D42EA">
        <w:rPr>
          <w:sz w:val="22"/>
          <w:szCs w:val="22"/>
        </w:rPr>
        <w:t xml:space="preserve">If you experience any technical difficulties, please contact 13 QGOV (13 7468). All calls relating to the status of your application once the job has closed should be directed to the contact officer on the </w:t>
      </w:r>
      <w:r w:rsidR="00F9789F" w:rsidRPr="005D42EA">
        <w:rPr>
          <w:sz w:val="22"/>
          <w:szCs w:val="22"/>
        </w:rPr>
        <w:t xml:space="preserve">role </w:t>
      </w:r>
      <w:r w:rsidRPr="005D42EA">
        <w:rPr>
          <w:sz w:val="22"/>
          <w:szCs w:val="22"/>
        </w:rPr>
        <w:t>description.</w:t>
      </w:r>
    </w:p>
    <w:p w14:paraId="0DCE212E" w14:textId="6152B7EF" w:rsidR="0060790E" w:rsidRPr="005D42EA" w:rsidRDefault="0060790E" w:rsidP="00F9789F">
      <w:pPr>
        <w:pStyle w:val="Default"/>
        <w:spacing w:before="120" w:after="120" w:line="260" w:lineRule="atLeast"/>
        <w:rPr>
          <w:sz w:val="22"/>
          <w:szCs w:val="22"/>
        </w:rPr>
      </w:pPr>
      <w:r w:rsidRPr="005D42EA">
        <w:rPr>
          <w:sz w:val="22"/>
          <w:szCs w:val="22"/>
        </w:rPr>
        <w:t xml:space="preserve">If you do not have internet access and </w:t>
      </w:r>
      <w:r w:rsidR="00F9789F" w:rsidRPr="005D42EA">
        <w:rPr>
          <w:sz w:val="22"/>
          <w:szCs w:val="22"/>
        </w:rPr>
        <w:t xml:space="preserve">you are </w:t>
      </w:r>
      <w:r w:rsidRPr="005D42EA">
        <w:rPr>
          <w:sz w:val="22"/>
          <w:szCs w:val="22"/>
        </w:rPr>
        <w:t xml:space="preserve">unable to submit your application online, please </w:t>
      </w:r>
      <w:r w:rsidR="00F9789F" w:rsidRPr="005D42EA">
        <w:rPr>
          <w:sz w:val="22"/>
          <w:szCs w:val="22"/>
        </w:rPr>
        <w:t xml:space="preserve">contact </w:t>
      </w:r>
      <w:r w:rsidR="009E6154">
        <w:rPr>
          <w:sz w:val="22"/>
          <w:szCs w:val="22"/>
        </w:rPr>
        <w:t xml:space="preserve">the QSS Customer Support Team on 1300 146 370 </w:t>
      </w:r>
      <w:r w:rsidRPr="005D42EA">
        <w:rPr>
          <w:sz w:val="22"/>
          <w:szCs w:val="22"/>
        </w:rPr>
        <w:t>to enquire</w:t>
      </w:r>
      <w:r w:rsidR="00F9789F" w:rsidRPr="005D42EA">
        <w:rPr>
          <w:sz w:val="22"/>
          <w:szCs w:val="22"/>
        </w:rPr>
        <w:t xml:space="preserve"> </w:t>
      </w:r>
      <w:r w:rsidRPr="005D42EA">
        <w:rPr>
          <w:sz w:val="22"/>
          <w:szCs w:val="22"/>
        </w:rPr>
        <w:t>about alternative arrangements.</w:t>
      </w:r>
    </w:p>
    <w:p w14:paraId="37DBA0A7" w14:textId="77777777" w:rsidR="0060790E" w:rsidRPr="005D42EA" w:rsidRDefault="0060790E" w:rsidP="00F9789F">
      <w:pPr>
        <w:pStyle w:val="Default"/>
        <w:spacing w:before="120" w:after="120" w:line="260" w:lineRule="atLeast"/>
        <w:rPr>
          <w:sz w:val="22"/>
          <w:szCs w:val="22"/>
        </w:rPr>
      </w:pPr>
      <w:r w:rsidRPr="005D42EA">
        <w:rPr>
          <w:sz w:val="22"/>
          <w:szCs w:val="22"/>
        </w:rPr>
        <w:t>Late applications cannot be submitted online, so please allow enough time before the closing date to submit your application.</w:t>
      </w:r>
      <w:r w:rsidR="00F9789F" w:rsidRPr="005D42EA">
        <w:rPr>
          <w:sz w:val="22"/>
          <w:szCs w:val="22"/>
        </w:rPr>
        <w:t xml:space="preserve"> Requests for consideration to submit a late application can be made to the contact person for this role.</w:t>
      </w:r>
    </w:p>
    <w:p w14:paraId="69F43662" w14:textId="77777777" w:rsidR="007734DA" w:rsidRDefault="007734DA">
      <w:pPr>
        <w:rPr>
          <w:rFonts w:cs="Arial"/>
          <w:color w:val="000000"/>
          <w:sz w:val="28"/>
          <w:szCs w:val="28"/>
          <w14:ligatures w14:val="standardContextual"/>
        </w:rPr>
      </w:pPr>
      <w:r>
        <w:rPr>
          <w:sz w:val="28"/>
          <w:szCs w:val="28"/>
        </w:rPr>
        <w:br w:type="page"/>
      </w:r>
    </w:p>
    <w:p w14:paraId="7FAEF052" w14:textId="6748ABD0" w:rsidR="00F9789F" w:rsidRPr="00027035" w:rsidRDefault="00F9789F" w:rsidP="00027035">
      <w:pPr>
        <w:pStyle w:val="Default"/>
        <w:spacing w:before="240" w:after="120" w:line="260" w:lineRule="atLeast"/>
        <w:rPr>
          <w:sz w:val="28"/>
          <w:szCs w:val="28"/>
        </w:rPr>
      </w:pPr>
      <w:r w:rsidRPr="00027035">
        <w:rPr>
          <w:sz w:val="28"/>
          <w:szCs w:val="28"/>
        </w:rPr>
        <w:lastRenderedPageBreak/>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5"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lastRenderedPageBreak/>
        <w:t>Within one month of commencing employment, the successful applicant is required to disclose any employment as a lobbyist in the preceding two years.</w:t>
      </w:r>
    </w:p>
    <w:sectPr w:rsidR="00370404" w:rsidRPr="00370404" w:rsidSect="00C73292">
      <w:footerReference w:type="even" r:id="rId26"/>
      <w:footerReference w:type="default" r:id="rId27"/>
      <w:headerReference w:type="first" r:id="rId28"/>
      <w:footerReference w:type="first" r:id="rId29"/>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E784" w14:textId="77777777" w:rsidR="007779C1" w:rsidRDefault="007779C1" w:rsidP="0024413D">
      <w:pPr>
        <w:spacing w:after="0" w:line="240" w:lineRule="auto"/>
      </w:pPr>
      <w:r>
        <w:separator/>
      </w:r>
    </w:p>
  </w:endnote>
  <w:endnote w:type="continuationSeparator" w:id="0">
    <w:p w14:paraId="6741B3CC" w14:textId="77777777" w:rsidR="007779C1" w:rsidRDefault="007779C1"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E49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5557BDD5" w:rsidR="00C73292" w:rsidRPr="00BF7C29" w:rsidRDefault="00383E7D" w:rsidP="00BF7C29">
                          <w:pPr>
                            <w:pStyle w:val="Default"/>
                            <w:spacing w:after="40" w:line="200" w:lineRule="atLeast"/>
                            <w:rPr>
                              <w:i/>
                              <w:iCs/>
                              <w:color w:val="4472C4" w:themeColor="accent1"/>
                              <w:sz w:val="20"/>
                              <w:szCs w:val="20"/>
                            </w:rPr>
                          </w:pPr>
                          <w:r>
                            <w:rPr>
                              <w:i/>
                              <w:iCs/>
                              <w:color w:val="4472C4" w:themeColor="accent1"/>
                              <w:sz w:val="20"/>
                              <w:szCs w:val="20"/>
                            </w:rPr>
                            <w:t>Lead Inspector (</w:t>
                          </w:r>
                          <w:r w:rsidR="008268BE">
                            <w:rPr>
                              <w:i/>
                              <w:iCs/>
                              <w:color w:val="4472C4" w:themeColor="accent1"/>
                              <w:sz w:val="20"/>
                              <w:szCs w:val="20"/>
                            </w:rPr>
                            <w:t>Construction</w:t>
                          </w:r>
                          <w:r>
                            <w:rPr>
                              <w:i/>
                              <w:iCs/>
                              <w:color w:val="4472C4" w:themeColor="accent1"/>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5557BDD5" w:rsidR="00C73292" w:rsidRPr="00BF7C29" w:rsidRDefault="00383E7D" w:rsidP="00BF7C29">
                    <w:pPr>
                      <w:pStyle w:val="Default"/>
                      <w:spacing w:after="40" w:line="200" w:lineRule="atLeast"/>
                      <w:rPr>
                        <w:i/>
                        <w:iCs/>
                        <w:color w:val="4472C4" w:themeColor="accent1"/>
                        <w:sz w:val="20"/>
                        <w:szCs w:val="20"/>
                      </w:rPr>
                    </w:pPr>
                    <w:r>
                      <w:rPr>
                        <w:i/>
                        <w:iCs/>
                        <w:color w:val="4472C4" w:themeColor="accent1"/>
                        <w:sz w:val="20"/>
                        <w:szCs w:val="20"/>
                      </w:rPr>
                      <w:t>Lead Inspector (</w:t>
                    </w:r>
                    <w:r w:rsidR="008268BE">
                      <w:rPr>
                        <w:i/>
                        <w:iCs/>
                        <w:color w:val="4472C4" w:themeColor="accent1"/>
                        <w:sz w:val="20"/>
                        <w:szCs w:val="20"/>
                      </w:rPr>
                      <w:t>Construction</w:t>
                    </w:r>
                    <w:r>
                      <w:rPr>
                        <w:i/>
                        <w:iCs/>
                        <w:color w:val="4472C4" w:themeColor="accent1"/>
                        <w:sz w:val="20"/>
                        <w:szCs w:val="2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C17E" w14:textId="77777777" w:rsidR="007779C1" w:rsidRDefault="007779C1" w:rsidP="0024413D">
      <w:pPr>
        <w:spacing w:after="0" w:line="240" w:lineRule="auto"/>
      </w:pPr>
      <w:r>
        <w:separator/>
      </w:r>
    </w:p>
  </w:footnote>
  <w:footnote w:type="continuationSeparator" w:id="0">
    <w:p w14:paraId="317FF3E3" w14:textId="77777777" w:rsidR="007779C1" w:rsidRDefault="007779C1"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290"/>
    <w:multiLevelType w:val="hybridMultilevel"/>
    <w:tmpl w:val="D736A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FA2505"/>
    <w:multiLevelType w:val="hybridMultilevel"/>
    <w:tmpl w:val="EFF0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B1165"/>
    <w:multiLevelType w:val="hybridMultilevel"/>
    <w:tmpl w:val="20ACC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5"/>
  </w:num>
  <w:num w:numId="2" w16cid:durableId="1039276750">
    <w:abstractNumId w:val="2"/>
  </w:num>
  <w:num w:numId="3" w16cid:durableId="1992171045">
    <w:abstractNumId w:val="8"/>
  </w:num>
  <w:num w:numId="4" w16cid:durableId="1105229608">
    <w:abstractNumId w:val="7"/>
  </w:num>
  <w:num w:numId="5" w16cid:durableId="46072774">
    <w:abstractNumId w:val="11"/>
  </w:num>
  <w:num w:numId="6" w16cid:durableId="1009336612">
    <w:abstractNumId w:val="6"/>
  </w:num>
  <w:num w:numId="7" w16cid:durableId="1583173733">
    <w:abstractNumId w:val="4"/>
  </w:num>
  <w:num w:numId="8" w16cid:durableId="1653873648">
    <w:abstractNumId w:val="1"/>
  </w:num>
  <w:num w:numId="9" w16cid:durableId="649942833">
    <w:abstractNumId w:val="15"/>
  </w:num>
  <w:num w:numId="10" w16cid:durableId="861556150">
    <w:abstractNumId w:val="3"/>
  </w:num>
  <w:num w:numId="11" w16cid:durableId="1811704691">
    <w:abstractNumId w:val="14"/>
  </w:num>
  <w:num w:numId="12" w16cid:durableId="906574163">
    <w:abstractNumId w:val="12"/>
  </w:num>
  <w:num w:numId="13" w16cid:durableId="1051806424">
    <w:abstractNumId w:val="10"/>
  </w:num>
  <w:num w:numId="14" w16cid:durableId="26417248">
    <w:abstractNumId w:val="0"/>
  </w:num>
  <w:num w:numId="15" w16cid:durableId="2010909796">
    <w:abstractNumId w:val="13"/>
  </w:num>
  <w:num w:numId="16" w16cid:durableId="2061904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7035"/>
    <w:rsid w:val="000870F0"/>
    <w:rsid w:val="000A2E38"/>
    <w:rsid w:val="000D7A82"/>
    <w:rsid w:val="001266EB"/>
    <w:rsid w:val="001361B3"/>
    <w:rsid w:val="00160222"/>
    <w:rsid w:val="00171868"/>
    <w:rsid w:val="00175248"/>
    <w:rsid w:val="001C0E45"/>
    <w:rsid w:val="001D53A9"/>
    <w:rsid w:val="00201676"/>
    <w:rsid w:val="0024413D"/>
    <w:rsid w:val="00255758"/>
    <w:rsid w:val="00272597"/>
    <w:rsid w:val="00370404"/>
    <w:rsid w:val="00383E7D"/>
    <w:rsid w:val="004137DD"/>
    <w:rsid w:val="00451BE3"/>
    <w:rsid w:val="004838D9"/>
    <w:rsid w:val="004F1F46"/>
    <w:rsid w:val="005429BD"/>
    <w:rsid w:val="00543555"/>
    <w:rsid w:val="00546F69"/>
    <w:rsid w:val="00554269"/>
    <w:rsid w:val="005D42EA"/>
    <w:rsid w:val="005E0773"/>
    <w:rsid w:val="0060790E"/>
    <w:rsid w:val="00636002"/>
    <w:rsid w:val="00654C1F"/>
    <w:rsid w:val="006731E1"/>
    <w:rsid w:val="00701202"/>
    <w:rsid w:val="00705E3A"/>
    <w:rsid w:val="0071373B"/>
    <w:rsid w:val="00761EE8"/>
    <w:rsid w:val="007734DA"/>
    <w:rsid w:val="007779C1"/>
    <w:rsid w:val="007B1895"/>
    <w:rsid w:val="007D1DA3"/>
    <w:rsid w:val="00801D17"/>
    <w:rsid w:val="00811F17"/>
    <w:rsid w:val="00825CCD"/>
    <w:rsid w:val="008268BE"/>
    <w:rsid w:val="00852D7C"/>
    <w:rsid w:val="008D2373"/>
    <w:rsid w:val="00914C33"/>
    <w:rsid w:val="0093745A"/>
    <w:rsid w:val="009B7B8B"/>
    <w:rsid w:val="009E6154"/>
    <w:rsid w:val="00A12BD3"/>
    <w:rsid w:val="00A158D2"/>
    <w:rsid w:val="00B013B3"/>
    <w:rsid w:val="00B04C76"/>
    <w:rsid w:val="00B11372"/>
    <w:rsid w:val="00B14187"/>
    <w:rsid w:val="00B561F3"/>
    <w:rsid w:val="00BF7C29"/>
    <w:rsid w:val="00C238B0"/>
    <w:rsid w:val="00C73292"/>
    <w:rsid w:val="00CA3A0E"/>
    <w:rsid w:val="00CD5866"/>
    <w:rsid w:val="00D27B62"/>
    <w:rsid w:val="00D52234"/>
    <w:rsid w:val="00D83608"/>
    <w:rsid w:val="00D97E63"/>
    <w:rsid w:val="00DC37D6"/>
    <w:rsid w:val="00DF1266"/>
    <w:rsid w:val="00E05EF9"/>
    <w:rsid w:val="00E10257"/>
    <w:rsid w:val="00E25F97"/>
    <w:rsid w:val="00E7346F"/>
    <w:rsid w:val="00E90056"/>
    <w:rsid w:val="00ED2593"/>
    <w:rsid w:val="00F51A05"/>
    <w:rsid w:val="00F9789F"/>
    <w:rsid w:val="00FE1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styleId="Revision">
    <w:name w:val="Revision"/>
    <w:hidden/>
    <w:uiPriority w:val="99"/>
    <w:semiHidden/>
    <w:rsid w:val="001D53A9"/>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yperlink" Target="https://www.oir.qld.gov.a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www.smartjobs.qld.gov.au).T"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forgov.qld.gov.au/working-in-the-public-service/leadership-and-learning-hub/build-capability/capability-frameworks-and-strategies/leadership-competencies-for-queenslan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CB4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Director.dotx</Template>
  <TotalTime>4</TotalTime>
  <Pages>5</Pages>
  <Words>1530</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Jennifer Ardat</cp:lastModifiedBy>
  <cp:revision>2</cp:revision>
  <dcterms:created xsi:type="dcterms:W3CDTF">2024-04-11T03:42:00Z</dcterms:created>
  <dcterms:modified xsi:type="dcterms:W3CDTF">2024-04-11T03:42:00Z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-2088391834</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441997887</vt:i4>
  </property>
  <property fmtid="{D5CDD505-2E9C-101B-9397-08002B2CF9AE}" pid="8" name="_ReviewingToolsShownOnce">
    <vt:lpwstr/>
  </property>
</Properties>
</file>