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073D" w14:textId="77777777" w:rsidR="00CB37DE" w:rsidRPr="008340BB" w:rsidRDefault="0001000C" w:rsidP="00A87228">
      <w:pPr>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4"/>
        <w:gridCol w:w="3122"/>
        <w:gridCol w:w="2099"/>
        <w:gridCol w:w="3339"/>
      </w:tblGrid>
      <w:tr w:rsidR="002714BA" w:rsidRPr="00162F67" w14:paraId="3D5A0B48" w14:textId="77777777" w:rsidTr="002714BA">
        <w:trPr>
          <w:trHeight w:val="448"/>
        </w:trPr>
        <w:tc>
          <w:tcPr>
            <w:tcW w:w="2294" w:type="dxa"/>
            <w:shd w:val="clear" w:color="auto" w:fill="auto"/>
            <w:tcMar>
              <w:top w:w="57" w:type="dxa"/>
              <w:bottom w:w="57" w:type="dxa"/>
            </w:tcMar>
          </w:tcPr>
          <w:p w14:paraId="4B418986"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Job ad reference</w:t>
            </w:r>
          </w:p>
        </w:tc>
        <w:tc>
          <w:tcPr>
            <w:tcW w:w="3122" w:type="dxa"/>
            <w:shd w:val="clear" w:color="auto" w:fill="auto"/>
            <w:tcMar>
              <w:top w:w="57" w:type="dxa"/>
              <w:bottom w:w="57" w:type="dxa"/>
            </w:tcMar>
          </w:tcPr>
          <w:p w14:paraId="2C45B5C5" w14:textId="11E1893D" w:rsidR="002714BA" w:rsidRPr="00162F67" w:rsidRDefault="001644F5" w:rsidP="002714BA">
            <w:pPr>
              <w:spacing w:before="57" w:after="57"/>
              <w:rPr>
                <w:rFonts w:eastAsia="Times New Roman"/>
                <w:lang w:eastAsia="en-AU"/>
              </w:rPr>
            </w:pPr>
            <w:r>
              <w:rPr>
                <w:rFonts w:eastAsia="Times New Roman"/>
                <w:lang w:eastAsia="en-AU"/>
              </w:rPr>
              <w:t>MI561467</w:t>
            </w:r>
          </w:p>
        </w:tc>
        <w:tc>
          <w:tcPr>
            <w:tcW w:w="2099" w:type="dxa"/>
            <w:shd w:val="clear" w:color="auto" w:fill="auto"/>
            <w:tcMar>
              <w:top w:w="57" w:type="dxa"/>
              <w:bottom w:w="57" w:type="dxa"/>
            </w:tcMar>
          </w:tcPr>
          <w:p w14:paraId="095B031D"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Closing date</w:t>
            </w:r>
          </w:p>
        </w:tc>
        <w:tc>
          <w:tcPr>
            <w:tcW w:w="3339" w:type="dxa"/>
            <w:shd w:val="clear" w:color="auto" w:fill="auto"/>
            <w:tcMar>
              <w:top w:w="57" w:type="dxa"/>
              <w:bottom w:w="57" w:type="dxa"/>
            </w:tcMar>
          </w:tcPr>
          <w:p w14:paraId="03931A06" w14:textId="1C88B1FE" w:rsidR="002714BA" w:rsidRPr="001644F5" w:rsidRDefault="001644F5" w:rsidP="002714BA">
            <w:pPr>
              <w:spacing w:before="57" w:after="57"/>
              <w:rPr>
                <w:rFonts w:eastAsia="Times New Roman"/>
                <w:lang w:eastAsia="en-AU"/>
              </w:rPr>
            </w:pPr>
            <w:r>
              <w:rPr>
                <w:rFonts w:eastAsia="Times New Roman"/>
                <w:lang w:eastAsia="en-AU"/>
              </w:rPr>
              <w:t xml:space="preserve">Monday </w:t>
            </w:r>
            <w:r w:rsidRPr="001644F5">
              <w:rPr>
                <w:rFonts w:eastAsia="Times New Roman"/>
                <w:lang w:eastAsia="en-AU"/>
              </w:rPr>
              <w:t>27/05/2024</w:t>
            </w:r>
          </w:p>
        </w:tc>
      </w:tr>
      <w:tr w:rsidR="002714BA" w:rsidRPr="00162F67" w14:paraId="7478D100" w14:textId="77777777" w:rsidTr="002714BA">
        <w:trPr>
          <w:trHeight w:val="448"/>
        </w:trPr>
        <w:tc>
          <w:tcPr>
            <w:tcW w:w="2294" w:type="dxa"/>
            <w:shd w:val="clear" w:color="auto" w:fill="auto"/>
            <w:tcMar>
              <w:top w:w="57" w:type="dxa"/>
              <w:bottom w:w="57" w:type="dxa"/>
            </w:tcMar>
          </w:tcPr>
          <w:p w14:paraId="426F9E5A"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Role title</w:t>
            </w:r>
          </w:p>
        </w:tc>
        <w:tc>
          <w:tcPr>
            <w:tcW w:w="3122" w:type="dxa"/>
            <w:shd w:val="clear" w:color="auto" w:fill="auto"/>
            <w:tcMar>
              <w:top w:w="57" w:type="dxa"/>
              <w:bottom w:w="57" w:type="dxa"/>
            </w:tcMar>
          </w:tcPr>
          <w:p w14:paraId="4F1AAA53" w14:textId="2B43237E" w:rsidR="002714BA" w:rsidRPr="00162F67" w:rsidRDefault="002714BA" w:rsidP="002714BA">
            <w:pPr>
              <w:spacing w:before="57" w:after="57"/>
              <w:rPr>
                <w:rFonts w:eastAsia="Times New Roman"/>
                <w:lang w:eastAsia="en-AU"/>
              </w:rPr>
            </w:pPr>
            <w:r>
              <w:t xml:space="preserve">Principle House Officer Emergency Department </w:t>
            </w:r>
          </w:p>
        </w:tc>
        <w:tc>
          <w:tcPr>
            <w:tcW w:w="2099" w:type="dxa"/>
            <w:shd w:val="clear" w:color="auto" w:fill="auto"/>
            <w:tcMar>
              <w:top w:w="57" w:type="dxa"/>
              <w:bottom w:w="57" w:type="dxa"/>
            </w:tcMar>
          </w:tcPr>
          <w:p w14:paraId="4D0524DE"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Classification</w:t>
            </w:r>
          </w:p>
        </w:tc>
        <w:tc>
          <w:tcPr>
            <w:tcW w:w="3339" w:type="dxa"/>
            <w:shd w:val="clear" w:color="auto" w:fill="auto"/>
            <w:tcMar>
              <w:top w:w="57" w:type="dxa"/>
              <w:bottom w:w="57" w:type="dxa"/>
            </w:tcMar>
          </w:tcPr>
          <w:p w14:paraId="59643602" w14:textId="44571FF5" w:rsidR="002714BA" w:rsidRPr="00162F67" w:rsidRDefault="002714BA" w:rsidP="002714BA">
            <w:pPr>
              <w:spacing w:before="57" w:after="57"/>
              <w:rPr>
                <w:rFonts w:eastAsia="Times New Roman"/>
                <w:lang w:eastAsia="en-AU"/>
              </w:rPr>
            </w:pPr>
            <w:r>
              <w:t>L4 - L7</w:t>
            </w:r>
          </w:p>
        </w:tc>
      </w:tr>
      <w:tr w:rsidR="002714BA" w:rsidRPr="00162F67" w14:paraId="02AA77D5" w14:textId="77777777" w:rsidTr="002714BA">
        <w:trPr>
          <w:trHeight w:val="448"/>
        </w:trPr>
        <w:tc>
          <w:tcPr>
            <w:tcW w:w="2294" w:type="dxa"/>
            <w:shd w:val="clear" w:color="auto" w:fill="auto"/>
            <w:tcMar>
              <w:top w:w="57" w:type="dxa"/>
              <w:bottom w:w="57" w:type="dxa"/>
            </w:tcMar>
          </w:tcPr>
          <w:p w14:paraId="59F6EAE1"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Status</w:t>
            </w:r>
          </w:p>
        </w:tc>
        <w:tc>
          <w:tcPr>
            <w:tcW w:w="3122" w:type="dxa"/>
            <w:shd w:val="clear" w:color="auto" w:fill="auto"/>
            <w:tcMar>
              <w:top w:w="57" w:type="dxa"/>
              <w:bottom w:w="57" w:type="dxa"/>
            </w:tcMar>
          </w:tcPr>
          <w:p w14:paraId="423D5099" w14:textId="006CA02F" w:rsidR="002714BA" w:rsidRDefault="002714BA" w:rsidP="002714BA">
            <w:pPr>
              <w:spacing w:before="57" w:after="57"/>
            </w:pPr>
            <w:r>
              <w:t>Fixed term temporary full time</w:t>
            </w:r>
          </w:p>
          <w:p w14:paraId="7F8013FA" w14:textId="4F162FC6" w:rsidR="002714BA" w:rsidRDefault="002714BA" w:rsidP="002714BA">
            <w:pPr>
              <w:spacing w:before="57" w:after="57"/>
              <w:rPr>
                <w:rFonts w:eastAsia="Times New Roman"/>
                <w:lang w:eastAsia="en-AU"/>
              </w:rPr>
            </w:pPr>
            <w:r>
              <w:rPr>
                <w:rFonts w:eastAsia="Times New Roman"/>
                <w:lang w:eastAsia="en-AU"/>
              </w:rPr>
              <w:t>06/02/2023-06/08/2023</w:t>
            </w:r>
          </w:p>
          <w:p w14:paraId="69195C17" w14:textId="16D7E069" w:rsidR="001644F5" w:rsidRPr="00162F67" w:rsidRDefault="002714BA" w:rsidP="002714BA">
            <w:pPr>
              <w:spacing w:before="57" w:after="57"/>
              <w:rPr>
                <w:rFonts w:eastAsia="Times New Roman"/>
                <w:lang w:eastAsia="en-AU"/>
              </w:rPr>
            </w:pPr>
            <w:r>
              <w:rPr>
                <w:rFonts w:eastAsia="Times New Roman"/>
                <w:lang w:eastAsia="en-AU"/>
              </w:rPr>
              <w:t>07/08/2023-04/02/2024</w:t>
            </w:r>
          </w:p>
        </w:tc>
        <w:tc>
          <w:tcPr>
            <w:tcW w:w="2099" w:type="dxa"/>
            <w:shd w:val="clear" w:color="auto" w:fill="auto"/>
            <w:tcMar>
              <w:top w:w="57" w:type="dxa"/>
              <w:bottom w:w="57" w:type="dxa"/>
            </w:tcMar>
          </w:tcPr>
          <w:p w14:paraId="0CEEC77C"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Salary</w:t>
            </w:r>
          </w:p>
        </w:tc>
        <w:tc>
          <w:tcPr>
            <w:tcW w:w="3339" w:type="dxa"/>
            <w:shd w:val="clear" w:color="auto" w:fill="auto"/>
            <w:tcMar>
              <w:top w:w="57" w:type="dxa"/>
              <w:bottom w:w="57" w:type="dxa"/>
            </w:tcMar>
          </w:tcPr>
          <w:p w14:paraId="3F678D74" w14:textId="1B1B7EBA" w:rsidR="002714BA" w:rsidRPr="000F6A5C" w:rsidRDefault="001644F5" w:rsidP="002714BA">
            <w:pPr>
              <w:spacing w:before="57" w:after="57"/>
              <w:rPr>
                <w:rFonts w:eastAsia="Times New Roman"/>
                <w:highlight w:val="yellow"/>
                <w:lang w:eastAsia="en-AU"/>
              </w:rPr>
            </w:pPr>
            <w:r w:rsidRPr="001644F5">
              <w:rPr>
                <w:rFonts w:eastAsia="Times New Roman"/>
                <w:lang w:eastAsia="en-AU"/>
              </w:rPr>
              <w:t>$4822.20</w:t>
            </w:r>
            <w:r>
              <w:rPr>
                <w:rFonts w:eastAsia="Times New Roman"/>
                <w:lang w:eastAsia="en-AU"/>
              </w:rPr>
              <w:t xml:space="preserve"> - </w:t>
            </w:r>
            <w:r w:rsidRPr="001644F5">
              <w:rPr>
                <w:rFonts w:eastAsia="Times New Roman"/>
                <w:lang w:eastAsia="en-AU"/>
              </w:rPr>
              <w:t>$5311.40</w:t>
            </w:r>
            <w:r>
              <w:rPr>
                <w:rFonts w:eastAsia="Times New Roman"/>
                <w:lang w:eastAsia="en-AU"/>
              </w:rPr>
              <w:t xml:space="preserve"> per fortnight</w:t>
            </w:r>
          </w:p>
        </w:tc>
      </w:tr>
      <w:tr w:rsidR="002714BA" w:rsidRPr="00162F67" w14:paraId="718418E0" w14:textId="77777777" w:rsidTr="002714BA">
        <w:trPr>
          <w:trHeight w:val="448"/>
        </w:trPr>
        <w:tc>
          <w:tcPr>
            <w:tcW w:w="2294" w:type="dxa"/>
            <w:shd w:val="clear" w:color="auto" w:fill="auto"/>
            <w:tcMar>
              <w:top w:w="57" w:type="dxa"/>
              <w:bottom w:w="57" w:type="dxa"/>
            </w:tcMar>
          </w:tcPr>
          <w:p w14:paraId="60C3CDF0"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Unit/Branch</w:t>
            </w:r>
          </w:p>
        </w:tc>
        <w:tc>
          <w:tcPr>
            <w:tcW w:w="3122" w:type="dxa"/>
            <w:shd w:val="clear" w:color="auto" w:fill="auto"/>
            <w:tcMar>
              <w:top w:w="57" w:type="dxa"/>
              <w:bottom w:w="57" w:type="dxa"/>
            </w:tcMar>
          </w:tcPr>
          <w:p w14:paraId="3B1A9B36" w14:textId="518A1C06" w:rsidR="002714BA" w:rsidRPr="00162F67" w:rsidRDefault="002714BA" w:rsidP="002714BA">
            <w:pPr>
              <w:spacing w:before="57" w:after="57"/>
              <w:rPr>
                <w:rFonts w:eastAsia="Times New Roman"/>
                <w:lang w:eastAsia="en-AU"/>
              </w:rPr>
            </w:pPr>
            <w:r>
              <w:t>Emergency Department</w:t>
            </w:r>
            <w:r>
              <w:br/>
              <w:t>Mount Isa Hospital</w:t>
            </w:r>
          </w:p>
        </w:tc>
        <w:tc>
          <w:tcPr>
            <w:tcW w:w="2099" w:type="dxa"/>
            <w:shd w:val="clear" w:color="auto" w:fill="auto"/>
            <w:tcMar>
              <w:top w:w="57" w:type="dxa"/>
              <w:bottom w:w="57" w:type="dxa"/>
            </w:tcMar>
          </w:tcPr>
          <w:p w14:paraId="06C13CF0"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Contact name</w:t>
            </w:r>
          </w:p>
        </w:tc>
        <w:tc>
          <w:tcPr>
            <w:tcW w:w="3339" w:type="dxa"/>
            <w:shd w:val="clear" w:color="auto" w:fill="auto"/>
            <w:tcMar>
              <w:top w:w="57" w:type="dxa"/>
              <w:bottom w:w="57" w:type="dxa"/>
            </w:tcMar>
          </w:tcPr>
          <w:p w14:paraId="3E4B8041" w14:textId="283C60C1" w:rsidR="002714BA" w:rsidRPr="00162F67" w:rsidRDefault="002714BA" w:rsidP="002714BA">
            <w:pPr>
              <w:spacing w:before="57" w:after="57"/>
              <w:rPr>
                <w:rFonts w:eastAsia="Times New Roman"/>
                <w:lang w:eastAsia="en-AU"/>
              </w:rPr>
            </w:pPr>
            <w:r>
              <w:rPr>
                <w:rFonts w:eastAsia="Times New Roman"/>
                <w:lang w:eastAsia="en-AU"/>
              </w:rPr>
              <w:t>Sarah Hetherton</w:t>
            </w:r>
          </w:p>
        </w:tc>
      </w:tr>
      <w:tr w:rsidR="002714BA" w:rsidRPr="00162F67" w14:paraId="2BE36C95" w14:textId="77777777" w:rsidTr="002714BA">
        <w:trPr>
          <w:trHeight w:val="448"/>
        </w:trPr>
        <w:tc>
          <w:tcPr>
            <w:tcW w:w="2294" w:type="dxa"/>
            <w:shd w:val="clear" w:color="auto" w:fill="auto"/>
            <w:tcMar>
              <w:top w:w="57" w:type="dxa"/>
              <w:bottom w:w="57" w:type="dxa"/>
            </w:tcMar>
          </w:tcPr>
          <w:p w14:paraId="73BB2C5A"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Division/Hospital</w:t>
            </w:r>
          </w:p>
        </w:tc>
        <w:tc>
          <w:tcPr>
            <w:tcW w:w="3122" w:type="dxa"/>
            <w:shd w:val="clear" w:color="auto" w:fill="auto"/>
            <w:tcMar>
              <w:top w:w="57" w:type="dxa"/>
              <w:bottom w:w="57" w:type="dxa"/>
            </w:tcMar>
          </w:tcPr>
          <w:p w14:paraId="6EA176F2" w14:textId="77777777" w:rsidR="002714BA" w:rsidRPr="00162F67" w:rsidRDefault="002714BA" w:rsidP="002714BA">
            <w:pPr>
              <w:spacing w:before="57" w:after="57"/>
              <w:rPr>
                <w:rFonts w:eastAsia="Times New Roman"/>
                <w:lang w:eastAsia="en-AU"/>
              </w:rPr>
            </w:pPr>
            <w:r w:rsidRPr="008340BB">
              <w:rPr>
                <w:rFonts w:eastAsia="Times New Roman"/>
                <w:lang w:eastAsia="en-AU"/>
              </w:rPr>
              <w:t>North West Hospital and Health Service</w:t>
            </w:r>
          </w:p>
        </w:tc>
        <w:tc>
          <w:tcPr>
            <w:tcW w:w="2099" w:type="dxa"/>
            <w:shd w:val="clear" w:color="auto" w:fill="auto"/>
            <w:tcMar>
              <w:top w:w="57" w:type="dxa"/>
              <w:bottom w:w="57" w:type="dxa"/>
            </w:tcMar>
          </w:tcPr>
          <w:p w14:paraId="435D24AA" w14:textId="77777777" w:rsidR="002714BA" w:rsidRPr="00162F67" w:rsidRDefault="002714BA" w:rsidP="002714BA">
            <w:pPr>
              <w:spacing w:before="57" w:after="57"/>
              <w:rPr>
                <w:rFonts w:eastAsia="Times New Roman"/>
                <w:b/>
                <w:lang w:eastAsia="en-AU"/>
              </w:rPr>
            </w:pPr>
            <w:r w:rsidRPr="00162F67">
              <w:rPr>
                <w:rFonts w:eastAsia="Times New Roman"/>
                <w:b/>
                <w:lang w:eastAsia="en-AU"/>
              </w:rPr>
              <w:t>Contact number</w:t>
            </w:r>
          </w:p>
        </w:tc>
        <w:tc>
          <w:tcPr>
            <w:tcW w:w="3339" w:type="dxa"/>
            <w:shd w:val="clear" w:color="auto" w:fill="auto"/>
            <w:tcMar>
              <w:top w:w="57" w:type="dxa"/>
              <w:bottom w:w="57" w:type="dxa"/>
            </w:tcMar>
          </w:tcPr>
          <w:p w14:paraId="6754663F" w14:textId="11579713" w:rsidR="002714BA" w:rsidRPr="00162F67" w:rsidRDefault="002714BA" w:rsidP="002714BA">
            <w:pPr>
              <w:spacing w:before="57" w:after="57"/>
              <w:rPr>
                <w:rFonts w:eastAsia="Times New Roman"/>
                <w:lang w:eastAsia="en-AU"/>
              </w:rPr>
            </w:pPr>
            <w:r w:rsidRPr="00162F67">
              <w:rPr>
                <w:rFonts w:eastAsia="Times New Roman"/>
                <w:lang w:eastAsia="en-AU"/>
              </w:rPr>
              <w:t xml:space="preserve">(07) </w:t>
            </w:r>
            <w:r>
              <w:rPr>
                <w:rFonts w:eastAsia="Times New Roman"/>
                <w:lang w:eastAsia="en-AU"/>
              </w:rPr>
              <w:t>4764 1243</w:t>
            </w:r>
          </w:p>
        </w:tc>
      </w:tr>
      <w:tr w:rsidR="002714BA" w:rsidRPr="00162F67" w14:paraId="6E44F367" w14:textId="77777777" w:rsidTr="002714BA">
        <w:trPr>
          <w:trHeight w:val="360"/>
        </w:trPr>
        <w:tc>
          <w:tcPr>
            <w:tcW w:w="2294" w:type="dxa"/>
            <w:shd w:val="clear" w:color="auto" w:fill="auto"/>
            <w:tcMar>
              <w:top w:w="57" w:type="dxa"/>
              <w:bottom w:w="57" w:type="dxa"/>
            </w:tcMar>
          </w:tcPr>
          <w:p w14:paraId="4EC966F8" w14:textId="77777777" w:rsidR="002714BA" w:rsidRPr="00162F67" w:rsidRDefault="002714BA" w:rsidP="002714BA">
            <w:pPr>
              <w:spacing w:before="57" w:after="57"/>
              <w:rPr>
                <w:rFonts w:eastAsia="Times New Roman"/>
                <w:lang w:eastAsia="en-AU"/>
              </w:rPr>
            </w:pPr>
            <w:r w:rsidRPr="00162F67">
              <w:rPr>
                <w:rFonts w:eastAsia="Times New Roman"/>
                <w:b/>
                <w:lang w:eastAsia="en-AU"/>
              </w:rPr>
              <w:t>Location</w:t>
            </w:r>
          </w:p>
        </w:tc>
        <w:tc>
          <w:tcPr>
            <w:tcW w:w="8560" w:type="dxa"/>
            <w:gridSpan w:val="3"/>
            <w:shd w:val="clear" w:color="auto" w:fill="auto"/>
            <w:tcMar>
              <w:top w:w="57" w:type="dxa"/>
              <w:bottom w:w="57" w:type="dxa"/>
            </w:tcMar>
          </w:tcPr>
          <w:p w14:paraId="744B62C5" w14:textId="77777777" w:rsidR="002714BA" w:rsidRDefault="002714BA" w:rsidP="002714BA">
            <w:pPr>
              <w:pStyle w:val="TableParagraph"/>
              <w:spacing w:before="110"/>
              <w:rPr>
                <w:sz w:val="20"/>
              </w:rPr>
            </w:pPr>
            <w:r>
              <w:rPr>
                <w:sz w:val="20"/>
              </w:rPr>
              <w:t>Mount Isa</w:t>
            </w:r>
          </w:p>
          <w:p w14:paraId="123C4CF8" w14:textId="77777777" w:rsidR="002714BA" w:rsidRDefault="002714BA" w:rsidP="002714BA">
            <w:pPr>
              <w:pStyle w:val="BodyText"/>
              <w:spacing w:before="0" w:line="240" w:lineRule="auto"/>
              <w:rPr>
                <w:szCs w:val="20"/>
              </w:rPr>
            </w:pPr>
            <w:r w:rsidRPr="00F15063">
              <w:rPr>
                <w:szCs w:val="20"/>
              </w:rPr>
              <w:t xml:space="preserve">Service delivery may require this role to work across other locations within the </w:t>
            </w:r>
            <w:r>
              <w:rPr>
                <w:rFonts w:cs="Arial"/>
                <w:snapToGrid w:val="0"/>
                <w:szCs w:val="20"/>
              </w:rPr>
              <w:t>North West</w:t>
            </w:r>
            <w:r w:rsidRPr="00124406">
              <w:rPr>
                <w:rFonts w:cs="Arial"/>
                <w:snapToGrid w:val="0"/>
                <w:szCs w:val="20"/>
              </w:rPr>
              <w:t xml:space="preserve"> Hospital and Health Service</w:t>
            </w:r>
            <w:r w:rsidRPr="00F15063">
              <w:rPr>
                <w:szCs w:val="20"/>
              </w:rPr>
              <w:t xml:space="preserve"> </w:t>
            </w:r>
            <w:r>
              <w:rPr>
                <w:szCs w:val="20"/>
              </w:rPr>
              <w:t>(NWHHS</w:t>
            </w:r>
            <w:r w:rsidRPr="00F15063">
              <w:rPr>
                <w:szCs w:val="20"/>
              </w:rPr>
              <w:t>)</w:t>
            </w:r>
            <w:r>
              <w:rPr>
                <w:szCs w:val="20"/>
              </w:rPr>
              <w:t>.</w:t>
            </w:r>
          </w:p>
          <w:p w14:paraId="2E618556" w14:textId="77777777" w:rsidR="002714BA" w:rsidRPr="00162F67" w:rsidRDefault="002714BA" w:rsidP="002714BA">
            <w:pPr>
              <w:spacing w:before="57" w:after="57"/>
              <w:rPr>
                <w:rFonts w:eastAsia="Times New Roman"/>
                <w:lang w:eastAsia="en-AU"/>
              </w:rPr>
            </w:pPr>
          </w:p>
        </w:tc>
      </w:tr>
    </w:tbl>
    <w:p w14:paraId="663ABB57" w14:textId="77777777" w:rsidR="00CB37DE" w:rsidRPr="008340BB" w:rsidRDefault="008340BB" w:rsidP="008340BB">
      <w:pPr>
        <w:pStyle w:val="FactsheetHeading"/>
        <w:rPr>
          <w:b/>
          <w:sz w:val="28"/>
        </w:rPr>
      </w:pPr>
      <w:r w:rsidRPr="008340BB">
        <w:rPr>
          <w:b/>
          <w:sz w:val="28"/>
        </w:rPr>
        <w:t xml:space="preserve">Your opportunity </w:t>
      </w:r>
    </w:p>
    <w:p w14:paraId="7C54CE08" w14:textId="77777777" w:rsidR="0063694C" w:rsidRDefault="0063694C" w:rsidP="0063694C">
      <w:pPr>
        <w:pStyle w:val="BodyText"/>
        <w:spacing w:before="259"/>
        <w:ind w:left="306" w:right="271"/>
      </w:pPr>
      <w:r>
        <w:t>The Emergency Department is staffed by a Director, 10 x Senior Medical Officer and 18 Resident Medical Officers. With a catchment 10% bigger than the size of Victoria, Mount Isa now offers superb rural roles for building breadth of experience and practical exposure. Our purpose built, 13 bed ED, and 3 bed short stay sees 29,000 patients a year, 25% of whom are paediatric, and 40% of whom are indigenous. Our patients come from remote communities, both in Queensland and the Northern Territory, mine sites as well patients living in Mount Isa and the surrounding towns. Mount Isa Hospital has general medicine, general surgery, paediatrics, anaesthetics, ICU, O&amp;G, mental health, and palliative care units. We work closely with RFDS with some of our doctors working for both.</w:t>
      </w:r>
    </w:p>
    <w:p w14:paraId="59609569" w14:textId="77777777" w:rsidR="008340BB" w:rsidRPr="00EB3B8A" w:rsidRDefault="008340BB" w:rsidP="00EB3B8A">
      <w:pPr>
        <w:spacing w:after="0"/>
        <w:rPr>
          <w:sz w:val="28"/>
          <w:lang w:eastAsia="en-GB"/>
        </w:rPr>
      </w:pPr>
    </w:p>
    <w:p w14:paraId="6950BFF9" w14:textId="77777777" w:rsidR="008340BB" w:rsidRPr="008340BB" w:rsidRDefault="008340BB" w:rsidP="00EB3B8A">
      <w:pPr>
        <w:pStyle w:val="FactsheetHeading"/>
        <w:spacing w:after="280"/>
        <w:rPr>
          <w:b/>
          <w:sz w:val="28"/>
        </w:rPr>
      </w:pPr>
      <w:r w:rsidRPr="008340BB">
        <w:rPr>
          <w:b/>
          <w:sz w:val="28"/>
        </w:rPr>
        <w:t xml:space="preserve">Your role </w:t>
      </w:r>
    </w:p>
    <w:p w14:paraId="660687A6" w14:textId="77777777" w:rsidR="0063694C" w:rsidRPr="00166C4F" w:rsidRDefault="0063694C" w:rsidP="0063694C">
      <w:pPr>
        <w:spacing w:before="71" w:after="0"/>
        <w:rPr>
          <w:b/>
        </w:rPr>
      </w:pPr>
      <w:r w:rsidRPr="00166C4F">
        <w:rPr>
          <w:b/>
        </w:rPr>
        <w:t>Clinical Responsibilities</w:t>
      </w:r>
    </w:p>
    <w:p w14:paraId="238EE01F"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Under the supervision of the relevant Consultants, initiate, maintain and be responsible for the clinical care of patients.</w:t>
      </w:r>
    </w:p>
    <w:p w14:paraId="3B38BF8E"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Document relevant clinical information accurately, concisely and legibly in-patient charts.</w:t>
      </w:r>
    </w:p>
    <w:p w14:paraId="0B199091"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Develop and assess paediatric telehealth services in conjunction with outreach services</w:t>
      </w:r>
    </w:p>
    <w:p w14:paraId="6ECBC651"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Ensure and review the quality of patient care by participation in clinical audits and quality programs.</w:t>
      </w:r>
    </w:p>
    <w:p w14:paraId="1A8401BF"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Undertake Indigenous health care in both inpatient and outpatient settings.</w:t>
      </w:r>
    </w:p>
    <w:p w14:paraId="5543BAA7"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lastRenderedPageBreak/>
        <w:t>Provide ethical decision making in the achievement of organizational goals.</w:t>
      </w:r>
    </w:p>
    <w:p w14:paraId="225C7056"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t xml:space="preserve">To make an </w:t>
      </w:r>
      <w:r>
        <w:rPr>
          <w:spacing w:val="-3"/>
        </w:rPr>
        <w:t xml:space="preserve">appropriate signed </w:t>
      </w:r>
      <w:r>
        <w:t xml:space="preserve">and </w:t>
      </w:r>
      <w:r>
        <w:rPr>
          <w:spacing w:val="-3"/>
        </w:rPr>
        <w:t xml:space="preserve">dated legible </w:t>
      </w:r>
      <w:r>
        <w:t xml:space="preserve">entry in the </w:t>
      </w:r>
      <w:r>
        <w:rPr>
          <w:spacing w:val="-3"/>
        </w:rPr>
        <w:t xml:space="preserve">patient’s </w:t>
      </w:r>
      <w:r>
        <w:t xml:space="preserve">medical </w:t>
      </w:r>
      <w:r>
        <w:rPr>
          <w:spacing w:val="-3"/>
        </w:rPr>
        <w:t xml:space="preserve">records </w:t>
      </w:r>
      <w:r>
        <w:t xml:space="preserve">on every </w:t>
      </w:r>
      <w:r>
        <w:rPr>
          <w:spacing w:val="-3"/>
        </w:rPr>
        <w:t xml:space="preserve">attendance </w:t>
      </w:r>
      <w:r>
        <w:t xml:space="preserve">upon a </w:t>
      </w:r>
      <w:r>
        <w:rPr>
          <w:spacing w:val="-3"/>
        </w:rPr>
        <w:t xml:space="preserve">patient. </w:t>
      </w:r>
      <w:r>
        <w:t xml:space="preserve">The medical </w:t>
      </w:r>
      <w:r>
        <w:rPr>
          <w:spacing w:val="-3"/>
        </w:rPr>
        <w:t xml:space="preserve">officer should also print his/her </w:t>
      </w:r>
      <w:r>
        <w:t xml:space="preserve">name </w:t>
      </w:r>
      <w:r>
        <w:rPr>
          <w:spacing w:val="-3"/>
        </w:rPr>
        <w:t xml:space="preserve">under </w:t>
      </w:r>
      <w:r>
        <w:t xml:space="preserve">the </w:t>
      </w:r>
      <w:r>
        <w:rPr>
          <w:spacing w:val="-3"/>
        </w:rPr>
        <w:t xml:space="preserve">signature. </w:t>
      </w:r>
      <w:r>
        <w:t xml:space="preserve">For each </w:t>
      </w:r>
      <w:r>
        <w:rPr>
          <w:spacing w:val="-3"/>
        </w:rPr>
        <w:t xml:space="preserve">working </w:t>
      </w:r>
      <w:r>
        <w:t xml:space="preserve">day </w:t>
      </w:r>
      <w:r>
        <w:rPr>
          <w:spacing w:val="-3"/>
        </w:rPr>
        <w:t>t</w:t>
      </w:r>
      <w:r w:rsidRPr="00166C4F">
        <w:rPr>
          <w:rFonts w:eastAsiaTheme="minorHAnsi" w:cstheme="minorBidi"/>
          <w:snapToGrid/>
          <w:lang w:val="en-GB" w:eastAsia="en-US"/>
        </w:rPr>
        <w:t>here should be a medical annotation in the medical notes.</w:t>
      </w:r>
    </w:p>
    <w:p w14:paraId="4F4E5AA6"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Undertake theoretical and practical training.</w:t>
      </w:r>
    </w:p>
    <w:p w14:paraId="0BF8701E" w14:textId="77777777" w:rsidR="0063694C" w:rsidRDefault="0063694C" w:rsidP="0063694C">
      <w:pPr>
        <w:spacing w:before="71" w:after="0"/>
        <w:rPr>
          <w:b/>
        </w:rPr>
      </w:pPr>
      <w:r>
        <w:rPr>
          <w:b/>
        </w:rPr>
        <w:t>Administrative</w:t>
      </w:r>
    </w:p>
    <w:p w14:paraId="54F1F242"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To ensure that discharge summaries and other correspondence are completed with minimum delay and that all</w:t>
      </w:r>
      <w:bookmarkStart w:id="0" w:name="Educational"/>
      <w:bookmarkEnd w:id="0"/>
      <w:r w:rsidRPr="00166C4F">
        <w:rPr>
          <w:rFonts w:eastAsiaTheme="minorHAnsi" w:cstheme="minorBidi"/>
          <w:snapToGrid/>
          <w:lang w:val="en-GB" w:eastAsia="en-US"/>
        </w:rPr>
        <w:t xml:space="preserve"> such correspondence is complete prior to leaving the unit.</w:t>
      </w:r>
    </w:p>
    <w:p w14:paraId="60E7B321" w14:textId="77777777" w:rsidR="0063694C" w:rsidRPr="00166C4F" w:rsidRDefault="0063694C" w:rsidP="0063694C">
      <w:pPr>
        <w:spacing w:before="71" w:after="0"/>
        <w:rPr>
          <w:b/>
        </w:rPr>
      </w:pPr>
      <w:r w:rsidRPr="00166C4F">
        <w:rPr>
          <w:b/>
        </w:rPr>
        <w:t>Educational</w:t>
      </w:r>
    </w:p>
    <w:p w14:paraId="33CFDB12"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To participate in clinical meetings that are undertaken by the clinical unit where stationed.</w:t>
      </w:r>
    </w:p>
    <w:p w14:paraId="48141276"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To participate in continual professional improvement and medical education.</w:t>
      </w:r>
    </w:p>
    <w:p w14:paraId="4515194D" w14:textId="77777777" w:rsidR="0063694C" w:rsidRPr="00166C4F" w:rsidRDefault="0063694C" w:rsidP="0063694C">
      <w:pPr>
        <w:spacing w:before="71" w:after="0"/>
        <w:rPr>
          <w:b/>
        </w:rPr>
      </w:pPr>
      <w:r w:rsidRPr="00166C4F">
        <w:rPr>
          <w:b/>
        </w:rPr>
        <w:t>General</w:t>
      </w:r>
    </w:p>
    <w:p w14:paraId="5578700B"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Participate in after hour roster/country relief program as required by the Executive Director of Medical Services.</w:t>
      </w:r>
    </w:p>
    <w:p w14:paraId="086F445F"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Provide support for senior medical staff as required.</w:t>
      </w:r>
    </w:p>
    <w:p w14:paraId="2F9E92FB"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Assist with case presentations at teaching meetings where necessary.</w:t>
      </w:r>
    </w:p>
    <w:p w14:paraId="71796FF0" w14:textId="77777777" w:rsidR="0063694C" w:rsidRPr="00166C4F" w:rsidRDefault="0063694C" w:rsidP="0063694C">
      <w:pPr>
        <w:pStyle w:val="ListBullet"/>
        <w:numPr>
          <w:ilvl w:val="0"/>
          <w:numId w:val="4"/>
        </w:numPr>
        <w:spacing w:after="0" w:line="240" w:lineRule="auto"/>
        <w:rPr>
          <w:rFonts w:eastAsiaTheme="minorHAnsi" w:cstheme="minorBidi"/>
          <w:snapToGrid/>
          <w:lang w:val="en-GB" w:eastAsia="en-US"/>
        </w:rPr>
      </w:pPr>
      <w:r w:rsidRPr="00166C4F">
        <w:rPr>
          <w:rFonts w:eastAsiaTheme="minorHAnsi" w:cstheme="minorBidi"/>
          <w:snapToGrid/>
          <w:lang w:val="en-GB" w:eastAsia="en-US"/>
        </w:rPr>
        <w:t>Be aware of and adhere to all relevant hospital policies and procedures.</w:t>
      </w:r>
    </w:p>
    <w:p w14:paraId="4051E79D" w14:textId="77777777" w:rsidR="008340BB" w:rsidRP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212F46DB" w14:textId="63400269" w:rsid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2DBE0AB7" w14:textId="77777777" w:rsidR="0062451D" w:rsidRPr="0062451D" w:rsidRDefault="0062451D" w:rsidP="0062451D">
      <w:pPr>
        <w:pStyle w:val="ListBullet"/>
        <w:numPr>
          <w:ilvl w:val="0"/>
          <w:numId w:val="4"/>
        </w:numPr>
        <w:spacing w:after="0" w:line="240" w:lineRule="auto"/>
        <w:rPr>
          <w:rFonts w:eastAsiaTheme="minorHAnsi" w:cstheme="minorBidi"/>
          <w:snapToGrid/>
          <w:lang w:val="en-GB" w:eastAsia="en-US"/>
        </w:rPr>
      </w:pPr>
      <w:r w:rsidRPr="0062451D">
        <w:t xml:space="preserve">Keep People Safe: Comply with reasonable Work Health and Safety instruction and cooperate with reasonable </w:t>
      </w:r>
      <w:r w:rsidRPr="0062451D">
        <w:rPr>
          <w:rFonts w:eastAsiaTheme="minorHAnsi" w:cstheme="minorBidi"/>
          <w:snapToGrid/>
          <w:lang w:val="en-GB" w:eastAsia="en-US"/>
        </w:rPr>
        <w:t>policy and procedures, including the Duties of Workers, Section 28, Work Health and Safety Act 2011 (QLD).</w:t>
      </w:r>
    </w:p>
    <w:p w14:paraId="6EADC912" w14:textId="0E19F102" w:rsidR="008340BB" w:rsidRPr="0021633D"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Implement and monitor the organisation’s quality standards, occupational health and safety policies, procedures and programs and provide clinical governance in the relevant work area. </w:t>
      </w:r>
    </w:p>
    <w:p w14:paraId="6701652C" w14:textId="57BA10EB" w:rsidR="0021633D" w:rsidRPr="0021633D" w:rsidRDefault="0021633D" w:rsidP="0021633D">
      <w:pPr>
        <w:pStyle w:val="ListBullet"/>
        <w:numPr>
          <w:ilvl w:val="0"/>
          <w:numId w:val="4"/>
        </w:numPr>
        <w:spacing w:after="0" w:line="240" w:lineRule="auto"/>
        <w:rPr>
          <w:rFonts w:eastAsiaTheme="minorHAnsi" w:cstheme="minorBidi"/>
          <w:snapToGrid/>
          <w:lang w:val="en-GB" w:eastAsia="en-US"/>
        </w:rPr>
      </w:pPr>
      <w:r>
        <w:rPr>
          <w:rFonts w:cs="Arial"/>
        </w:rPr>
        <w:t xml:space="preserve">Demonstrate a commitment to meeting or exceeding professional and National Standards (e.g., NSQHS Standards) to achieve the delivery, leadership, and governance of Quality Care Every Day as outlined in the </w:t>
      </w:r>
      <w:hyperlink r:id="rId8" w:history="1">
        <w:r>
          <w:rPr>
            <w:rStyle w:val="Hyperlink"/>
            <w:rFonts w:cs="Arial"/>
          </w:rPr>
          <w:t>Framework for Clinical Governance</w:t>
        </w:r>
      </w:hyperlink>
      <w:r>
        <w:rPr>
          <w:rFonts w:cs="Arial"/>
          <w:color w:val="CA9900"/>
        </w:rPr>
        <w:t xml:space="preserve"> </w:t>
      </w:r>
      <w:r>
        <w:rPr>
          <w:rFonts w:cs="Arial"/>
        </w:rPr>
        <w:t xml:space="preserve">and the </w:t>
      </w:r>
      <w:hyperlink r:id="rId9" w:history="1">
        <w:r>
          <w:rPr>
            <w:rStyle w:val="Hyperlink"/>
            <w:rFonts w:cs="Arial"/>
          </w:rPr>
          <w:t>Safety and Quality Roles and Responsibilities Matrix</w:t>
        </w:r>
      </w:hyperlink>
    </w:p>
    <w:p w14:paraId="1C07B964" w14:textId="77777777" w:rsidR="003C5D0C" w:rsidRPr="003C5D0C"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6F6002EC" w14:textId="77777777" w:rsidR="003C5D0C" w:rsidRPr="003C5D0C"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515D1085" w14:textId="77777777" w:rsidR="00312247" w:rsidRDefault="00312247" w:rsidP="008340BB">
      <w:pPr>
        <w:rPr>
          <w:lang w:eastAsia="en-GB"/>
        </w:rPr>
      </w:pPr>
    </w:p>
    <w:p w14:paraId="596D9522" w14:textId="77777777" w:rsidR="008340BB" w:rsidRPr="008340BB" w:rsidRDefault="008340BB" w:rsidP="008340BB">
      <w:pPr>
        <w:rPr>
          <w:rFonts w:cs="Arial"/>
          <w:b/>
          <w:bCs/>
          <w:color w:val="0095B3"/>
          <w:sz w:val="28"/>
          <w:lang w:eastAsia="en-GB"/>
        </w:rPr>
      </w:pPr>
      <w:r w:rsidRPr="008340BB">
        <w:rPr>
          <w:rFonts w:cs="Arial"/>
          <w:b/>
          <w:bCs/>
          <w:color w:val="0095B3"/>
          <w:sz w:val="28"/>
          <w:lang w:eastAsia="en-GB"/>
        </w:rPr>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5BFF2F5D" w14:textId="77777777" w:rsidR="008340BB" w:rsidRPr="00B03E58" w:rsidRDefault="008340BB" w:rsidP="00AE0AE2">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67C8DFD8" w14:textId="77777777" w:rsidR="008340BB" w:rsidRPr="00B03E58" w:rsidRDefault="008340BB" w:rsidP="00AE0AE2">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2040523D" w14:textId="77777777" w:rsidR="008340BB" w:rsidRPr="00B03E58" w:rsidRDefault="008340BB" w:rsidP="008340BB">
      <w:pPr>
        <w:spacing w:after="0"/>
        <w:rPr>
          <w:rFonts w:cs="Arial"/>
          <w:color w:val="0000FF"/>
          <w:szCs w:val="20"/>
        </w:rPr>
      </w:pPr>
    </w:p>
    <w:p w14:paraId="38592217" w14:textId="77777777" w:rsidR="001644F5" w:rsidRDefault="001644F5">
      <w:pPr>
        <w:spacing w:after="0"/>
        <w:rPr>
          <w:rFonts w:cs="Arial"/>
          <w:snapToGrid w:val="0"/>
        </w:rPr>
      </w:pPr>
      <w:r>
        <w:rPr>
          <w:rFonts w:cs="Arial"/>
          <w:snapToGrid w:val="0"/>
        </w:rPr>
        <w:br w:type="page"/>
      </w:r>
    </w:p>
    <w:p w14:paraId="5E9FAFCC" w14:textId="6855A2F3" w:rsidR="008340BB" w:rsidRPr="00B03E58" w:rsidRDefault="008340BB" w:rsidP="008340BB">
      <w:pPr>
        <w:rPr>
          <w:rFonts w:cs="Arial"/>
          <w:snapToGrid w:val="0"/>
        </w:rPr>
      </w:pPr>
      <w:r w:rsidRPr="00B03E58">
        <w:rPr>
          <w:rFonts w:cs="Arial"/>
          <w:snapToGrid w:val="0"/>
        </w:rPr>
        <w:lastRenderedPageBreak/>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6521B239" w14:textId="77777777" w:rsidTr="008340BB">
        <w:trPr>
          <w:cantSplit/>
          <w:trHeight w:hRule="exact" w:val="284"/>
          <w:tblHeader/>
        </w:trPr>
        <w:tc>
          <w:tcPr>
            <w:tcW w:w="2410" w:type="dxa"/>
            <w:shd w:val="clear" w:color="auto" w:fill="auto"/>
          </w:tcPr>
          <w:p w14:paraId="2F280372"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2D18FA31"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3242F21C"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4D4EDA83"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213B05DB" w14:textId="77777777" w:rsidTr="008340BB">
        <w:trPr>
          <w:cantSplit/>
          <w:trHeight w:hRule="exact" w:val="284"/>
          <w:tblHeader/>
        </w:trPr>
        <w:tc>
          <w:tcPr>
            <w:tcW w:w="2410" w:type="dxa"/>
            <w:shd w:val="clear" w:color="auto" w:fill="auto"/>
          </w:tcPr>
          <w:p w14:paraId="58BF1E5B"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36FC673F"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0C119BBB"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1A8FFF1F" w14:textId="77777777" w:rsidR="008340BB" w:rsidRPr="00474F6E" w:rsidRDefault="008340BB" w:rsidP="008340BB">
            <w:pPr>
              <w:jc w:val="both"/>
              <w:rPr>
                <w:rFonts w:cs="Arial"/>
                <w:snapToGrid w:val="0"/>
              </w:rPr>
            </w:pPr>
            <w:r w:rsidRPr="00474F6E">
              <w:rPr>
                <w:rFonts w:cs="Arial"/>
              </w:rPr>
              <w:t>Cloncurry</w:t>
            </w:r>
          </w:p>
        </w:tc>
      </w:tr>
      <w:tr w:rsidR="008340BB" w:rsidRPr="00764FA3" w14:paraId="37391759" w14:textId="77777777" w:rsidTr="008340BB">
        <w:trPr>
          <w:cantSplit/>
          <w:trHeight w:hRule="exact" w:val="284"/>
          <w:tblHeader/>
        </w:trPr>
        <w:tc>
          <w:tcPr>
            <w:tcW w:w="2410" w:type="dxa"/>
            <w:shd w:val="clear" w:color="auto" w:fill="auto"/>
          </w:tcPr>
          <w:p w14:paraId="705C61DF"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23239483"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270519AB"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09B671D1"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3A14F092" w14:textId="77777777" w:rsidTr="008340BB">
        <w:trPr>
          <w:cantSplit/>
          <w:trHeight w:hRule="exact" w:val="284"/>
          <w:tblHeader/>
        </w:trPr>
        <w:tc>
          <w:tcPr>
            <w:tcW w:w="2410" w:type="dxa"/>
            <w:shd w:val="clear" w:color="auto" w:fill="auto"/>
          </w:tcPr>
          <w:p w14:paraId="2441828E"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003A5788"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593CBCFE"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0A2B4C25" w14:textId="77777777" w:rsidR="008340BB" w:rsidRPr="00474F6E" w:rsidRDefault="008340BB" w:rsidP="008340BB">
            <w:pPr>
              <w:jc w:val="both"/>
              <w:rPr>
                <w:rFonts w:cs="Arial"/>
                <w:snapToGrid w:val="0"/>
              </w:rPr>
            </w:pPr>
          </w:p>
        </w:tc>
      </w:tr>
      <w:tr w:rsidR="008340BB" w:rsidRPr="00764FA3" w14:paraId="3C3F45D5" w14:textId="77777777" w:rsidTr="008340BB">
        <w:trPr>
          <w:cantSplit/>
          <w:trHeight w:hRule="exact" w:val="284"/>
          <w:tblHeader/>
        </w:trPr>
        <w:tc>
          <w:tcPr>
            <w:tcW w:w="2410" w:type="dxa"/>
            <w:shd w:val="clear" w:color="auto" w:fill="auto"/>
          </w:tcPr>
          <w:p w14:paraId="505DF5AB" w14:textId="77777777" w:rsidR="008340BB" w:rsidRDefault="008340BB" w:rsidP="008340BB">
            <w:pPr>
              <w:ind w:left="284"/>
              <w:jc w:val="both"/>
              <w:rPr>
                <w:rFonts w:cs="Arial"/>
              </w:rPr>
            </w:pPr>
            <w:r>
              <w:rPr>
                <w:rFonts w:cs="Arial"/>
              </w:rPr>
              <w:t>Normanton</w:t>
            </w:r>
          </w:p>
          <w:p w14:paraId="3FA678CA"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7074A4C9"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45E2B731"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259ABC87" w14:textId="77777777" w:rsidR="008340BB" w:rsidRPr="00474F6E" w:rsidRDefault="008340BB" w:rsidP="008340BB">
            <w:pPr>
              <w:jc w:val="both"/>
              <w:rPr>
                <w:rFonts w:cs="Arial"/>
                <w:snapToGrid w:val="0"/>
              </w:rPr>
            </w:pPr>
          </w:p>
        </w:tc>
      </w:tr>
      <w:tr w:rsidR="008340BB" w:rsidRPr="00764FA3" w14:paraId="52964501" w14:textId="77777777" w:rsidTr="008340BB">
        <w:trPr>
          <w:cantSplit/>
          <w:trHeight w:hRule="exact" w:val="284"/>
          <w:tblHeader/>
        </w:trPr>
        <w:tc>
          <w:tcPr>
            <w:tcW w:w="2410" w:type="dxa"/>
            <w:shd w:val="clear" w:color="auto" w:fill="auto"/>
          </w:tcPr>
          <w:p w14:paraId="6266DE75" w14:textId="77777777" w:rsidR="008340BB" w:rsidRPr="00474F6E" w:rsidRDefault="008340BB" w:rsidP="008340BB">
            <w:pPr>
              <w:ind w:left="284"/>
              <w:jc w:val="both"/>
              <w:rPr>
                <w:rFonts w:cs="Arial"/>
                <w:snapToGrid w:val="0"/>
              </w:rPr>
            </w:pPr>
          </w:p>
        </w:tc>
        <w:tc>
          <w:tcPr>
            <w:tcW w:w="2694" w:type="dxa"/>
            <w:shd w:val="clear" w:color="auto" w:fill="auto"/>
          </w:tcPr>
          <w:p w14:paraId="1F7125CB" w14:textId="77777777" w:rsidR="008340BB" w:rsidRPr="00474F6E" w:rsidRDefault="008340BB" w:rsidP="008340BB">
            <w:pPr>
              <w:jc w:val="both"/>
              <w:rPr>
                <w:rFonts w:cs="Arial"/>
                <w:snapToGrid w:val="0"/>
              </w:rPr>
            </w:pPr>
          </w:p>
        </w:tc>
        <w:tc>
          <w:tcPr>
            <w:tcW w:w="2551" w:type="dxa"/>
            <w:shd w:val="clear" w:color="auto" w:fill="auto"/>
          </w:tcPr>
          <w:p w14:paraId="52C396D1"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347DA100" w14:textId="77777777" w:rsidR="008340BB" w:rsidRPr="00474F6E" w:rsidRDefault="008340BB" w:rsidP="008340BB">
            <w:pPr>
              <w:jc w:val="both"/>
              <w:rPr>
                <w:rFonts w:cs="Arial"/>
                <w:snapToGrid w:val="0"/>
              </w:rPr>
            </w:pPr>
          </w:p>
        </w:tc>
      </w:tr>
      <w:tr w:rsidR="008340BB" w:rsidRPr="00764FA3" w14:paraId="08600A65" w14:textId="77777777" w:rsidTr="008340BB">
        <w:trPr>
          <w:cantSplit/>
          <w:trHeight w:hRule="exact" w:val="284"/>
          <w:tblHeader/>
        </w:trPr>
        <w:tc>
          <w:tcPr>
            <w:tcW w:w="2410" w:type="dxa"/>
            <w:shd w:val="clear" w:color="auto" w:fill="auto"/>
          </w:tcPr>
          <w:p w14:paraId="69E2268E" w14:textId="77777777" w:rsidR="008340BB" w:rsidRPr="00474F6E" w:rsidRDefault="008340BB" w:rsidP="008340BB">
            <w:pPr>
              <w:ind w:left="284"/>
              <w:jc w:val="both"/>
              <w:rPr>
                <w:rFonts w:cs="Arial"/>
                <w:snapToGrid w:val="0"/>
              </w:rPr>
            </w:pPr>
          </w:p>
        </w:tc>
        <w:tc>
          <w:tcPr>
            <w:tcW w:w="2694" w:type="dxa"/>
            <w:shd w:val="clear" w:color="auto" w:fill="auto"/>
          </w:tcPr>
          <w:p w14:paraId="23EE04B5" w14:textId="77777777" w:rsidR="008340BB" w:rsidRPr="00474F6E" w:rsidRDefault="008340BB" w:rsidP="008340BB">
            <w:pPr>
              <w:jc w:val="both"/>
              <w:rPr>
                <w:rFonts w:cs="Arial"/>
                <w:snapToGrid w:val="0"/>
              </w:rPr>
            </w:pPr>
          </w:p>
        </w:tc>
        <w:tc>
          <w:tcPr>
            <w:tcW w:w="2551" w:type="dxa"/>
            <w:shd w:val="clear" w:color="auto" w:fill="auto"/>
          </w:tcPr>
          <w:p w14:paraId="7D37558A"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4ED97B67" w14:textId="77777777" w:rsidR="008340BB" w:rsidRPr="00474F6E" w:rsidRDefault="008340BB" w:rsidP="008340BB">
            <w:pPr>
              <w:jc w:val="both"/>
              <w:rPr>
                <w:rFonts w:cs="Arial"/>
                <w:snapToGrid w:val="0"/>
              </w:rPr>
            </w:pPr>
          </w:p>
        </w:tc>
      </w:tr>
      <w:tr w:rsidR="008340BB" w:rsidRPr="00764FA3" w14:paraId="080C8178" w14:textId="77777777" w:rsidTr="008340BB">
        <w:trPr>
          <w:cantSplit/>
          <w:trHeight w:hRule="exact" w:val="284"/>
          <w:tblHeader/>
        </w:trPr>
        <w:tc>
          <w:tcPr>
            <w:tcW w:w="2410" w:type="dxa"/>
            <w:shd w:val="clear" w:color="auto" w:fill="auto"/>
          </w:tcPr>
          <w:p w14:paraId="677B6E59" w14:textId="77777777" w:rsidR="008340BB" w:rsidRPr="00386741" w:rsidRDefault="008340BB" w:rsidP="008340BB">
            <w:pPr>
              <w:ind w:left="284"/>
              <w:jc w:val="both"/>
              <w:rPr>
                <w:rFonts w:cs="Arial"/>
                <w:snapToGrid w:val="0"/>
                <w:sz w:val="22"/>
              </w:rPr>
            </w:pPr>
          </w:p>
        </w:tc>
        <w:tc>
          <w:tcPr>
            <w:tcW w:w="2694" w:type="dxa"/>
            <w:shd w:val="clear" w:color="auto" w:fill="auto"/>
          </w:tcPr>
          <w:p w14:paraId="05454C3D" w14:textId="77777777" w:rsidR="008340BB" w:rsidRPr="00474F6E" w:rsidRDefault="008340BB" w:rsidP="008340BB">
            <w:pPr>
              <w:jc w:val="both"/>
              <w:rPr>
                <w:rFonts w:cs="Arial"/>
                <w:snapToGrid w:val="0"/>
              </w:rPr>
            </w:pPr>
          </w:p>
        </w:tc>
        <w:tc>
          <w:tcPr>
            <w:tcW w:w="2551" w:type="dxa"/>
            <w:shd w:val="clear" w:color="auto" w:fill="auto"/>
          </w:tcPr>
          <w:p w14:paraId="4E8A75F5" w14:textId="77777777" w:rsidR="008340BB" w:rsidRPr="00474F6E" w:rsidRDefault="008340BB" w:rsidP="008340BB">
            <w:pPr>
              <w:jc w:val="both"/>
              <w:rPr>
                <w:rFonts w:cs="Arial"/>
                <w:snapToGrid w:val="0"/>
              </w:rPr>
            </w:pPr>
          </w:p>
        </w:tc>
        <w:tc>
          <w:tcPr>
            <w:tcW w:w="2977" w:type="dxa"/>
            <w:shd w:val="clear" w:color="auto" w:fill="auto"/>
          </w:tcPr>
          <w:p w14:paraId="30DC21E1" w14:textId="77777777" w:rsidR="008340BB" w:rsidRPr="00474F6E" w:rsidRDefault="008340BB" w:rsidP="008340BB">
            <w:pPr>
              <w:jc w:val="both"/>
              <w:rPr>
                <w:rFonts w:cs="Arial"/>
                <w:snapToGrid w:val="0"/>
              </w:rPr>
            </w:pPr>
          </w:p>
        </w:tc>
      </w:tr>
    </w:tbl>
    <w:p w14:paraId="62CF8C11" w14:textId="77777777" w:rsidR="008340BB" w:rsidRPr="00386741" w:rsidRDefault="008340BB" w:rsidP="008340BB">
      <w:pPr>
        <w:spacing w:after="0"/>
        <w:rPr>
          <w:rFonts w:eastAsia="Times New Roman"/>
          <w:b/>
          <w:color w:val="1F497D"/>
          <w:sz w:val="10"/>
          <w:lang w:eastAsia="en-AU"/>
        </w:rPr>
      </w:pPr>
      <w:r w:rsidRPr="00A42416">
        <w:rPr>
          <w:rFonts w:eastAsia="Times New Roman"/>
          <w:b/>
          <w:color w:val="1F497D"/>
          <w:sz w:val="12"/>
          <w:szCs w:val="16"/>
          <w:lang w:eastAsia="en-AU"/>
        </w:rPr>
        <w:br/>
      </w: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4F3D6036" w14:textId="77777777" w:rsidR="008340BB" w:rsidRPr="00B03E58" w:rsidRDefault="008340BB" w:rsidP="008340BB">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00A0D103" w14:textId="77777777" w:rsidR="008340BB" w:rsidRPr="00B03E58" w:rsidRDefault="008340BB" w:rsidP="008340BB">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p>
    <w:p w14:paraId="347F07F4"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62336" behindDoc="0" locked="0" layoutInCell="1" allowOverlap="1" wp14:anchorId="1B625DFD" wp14:editId="27BC8017">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0860E766" w14:textId="77777777" w:rsidR="003608D3" w:rsidRDefault="003608D3" w:rsidP="00FE75F9">
      <w:pPr>
        <w:spacing w:after="60"/>
        <w:rPr>
          <w:szCs w:val="20"/>
          <w:lang w:eastAsia="en-GB"/>
        </w:rPr>
      </w:pPr>
    </w:p>
    <w:p w14:paraId="0899E52D" w14:textId="77777777" w:rsidR="003608D3" w:rsidRDefault="003608D3" w:rsidP="00FE75F9">
      <w:pPr>
        <w:spacing w:after="60"/>
        <w:rPr>
          <w:szCs w:val="20"/>
          <w:lang w:eastAsia="en-GB"/>
        </w:rPr>
      </w:pPr>
    </w:p>
    <w:p w14:paraId="12F99228" w14:textId="77777777" w:rsidR="003608D3" w:rsidRDefault="003608D3" w:rsidP="00FE75F9">
      <w:pPr>
        <w:spacing w:after="60"/>
        <w:rPr>
          <w:szCs w:val="20"/>
          <w:lang w:eastAsia="en-GB"/>
        </w:rPr>
      </w:pPr>
    </w:p>
    <w:p w14:paraId="0B68B71A" w14:textId="77777777" w:rsidR="003608D3" w:rsidRDefault="003608D3" w:rsidP="00FE75F9">
      <w:pPr>
        <w:spacing w:after="60"/>
        <w:rPr>
          <w:szCs w:val="20"/>
          <w:lang w:eastAsia="en-GB"/>
        </w:rPr>
      </w:pPr>
    </w:p>
    <w:p w14:paraId="4B4522DE" w14:textId="77777777" w:rsidR="003608D3" w:rsidRDefault="003608D3" w:rsidP="00FE75F9">
      <w:pPr>
        <w:spacing w:after="60"/>
        <w:rPr>
          <w:szCs w:val="20"/>
          <w:lang w:eastAsia="en-GB"/>
        </w:rPr>
      </w:pPr>
    </w:p>
    <w:p w14:paraId="36578C9B" w14:textId="77777777" w:rsidR="003608D3" w:rsidRDefault="003608D3" w:rsidP="00FE75F9">
      <w:pPr>
        <w:spacing w:after="60"/>
        <w:rPr>
          <w:szCs w:val="20"/>
          <w:lang w:eastAsia="en-GB"/>
        </w:rPr>
      </w:pPr>
    </w:p>
    <w:p w14:paraId="57B9F252" w14:textId="77777777" w:rsidR="003608D3" w:rsidRDefault="003608D3" w:rsidP="00FE75F9">
      <w:pPr>
        <w:spacing w:after="60"/>
        <w:rPr>
          <w:szCs w:val="20"/>
          <w:lang w:eastAsia="en-GB"/>
        </w:rPr>
      </w:pPr>
    </w:p>
    <w:p w14:paraId="13920FBB" w14:textId="77777777" w:rsidR="003608D3" w:rsidRDefault="003608D3" w:rsidP="00FE75F9">
      <w:pPr>
        <w:spacing w:after="60"/>
        <w:rPr>
          <w:szCs w:val="20"/>
          <w:lang w:eastAsia="en-GB"/>
        </w:rPr>
      </w:pPr>
    </w:p>
    <w:p w14:paraId="65722789" w14:textId="77777777" w:rsidR="00D41140" w:rsidRDefault="00D41140" w:rsidP="00FE75F9">
      <w:pPr>
        <w:spacing w:after="60"/>
        <w:rPr>
          <w:szCs w:val="20"/>
          <w:lang w:eastAsia="en-GB"/>
        </w:rPr>
      </w:pPr>
    </w:p>
    <w:p w14:paraId="6763B238" w14:textId="77777777" w:rsidR="00A16680" w:rsidRDefault="00A16680" w:rsidP="00FE75F9">
      <w:pPr>
        <w:spacing w:after="60"/>
        <w:rPr>
          <w:szCs w:val="20"/>
          <w:lang w:eastAsia="en-GB"/>
        </w:rPr>
      </w:pPr>
    </w:p>
    <w:p w14:paraId="76B90D6B" w14:textId="77777777" w:rsidR="00D41140" w:rsidRDefault="00D41140" w:rsidP="00FE75F9">
      <w:pPr>
        <w:spacing w:after="60"/>
        <w:rPr>
          <w:szCs w:val="20"/>
          <w:lang w:eastAsia="en-GB"/>
        </w:rPr>
      </w:pPr>
    </w:p>
    <w:p w14:paraId="3444C479" w14:textId="77777777" w:rsidR="00A16680" w:rsidRPr="00A42416" w:rsidRDefault="00A16680" w:rsidP="00FE75F9">
      <w:pPr>
        <w:spacing w:after="60"/>
        <w:rPr>
          <w:sz w:val="8"/>
          <w:szCs w:val="8"/>
          <w:lang w:eastAsia="en-GB"/>
        </w:rPr>
      </w:pPr>
    </w:p>
    <w:p w14:paraId="4D322083"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3"/>
        <w:gridCol w:w="1779"/>
        <w:gridCol w:w="1805"/>
        <w:gridCol w:w="1815"/>
        <w:gridCol w:w="1780"/>
        <w:gridCol w:w="1784"/>
      </w:tblGrid>
      <w:tr w:rsidR="00D41140" w14:paraId="6D5040D3" w14:textId="77777777" w:rsidTr="009426DE">
        <w:trPr>
          <w:jc w:val="center"/>
        </w:trPr>
        <w:tc>
          <w:tcPr>
            <w:tcW w:w="1830" w:type="dxa"/>
            <w:shd w:val="clear" w:color="auto" w:fill="0095B3"/>
            <w:vAlign w:val="center"/>
          </w:tcPr>
          <w:p w14:paraId="1716112B"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449D4E5A"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61D3A138"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0EDCC8F9"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4716B3F3"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4D0253A8"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33A88A8F" w14:textId="77777777" w:rsidTr="009426DE">
        <w:trPr>
          <w:jc w:val="center"/>
        </w:trPr>
        <w:tc>
          <w:tcPr>
            <w:tcW w:w="1830" w:type="dxa"/>
            <w:shd w:val="clear" w:color="auto" w:fill="auto"/>
            <w:vAlign w:val="center"/>
          </w:tcPr>
          <w:p w14:paraId="3AD3D4F7"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6B9DDA60"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21CF7C21"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2FD9BD27"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4F3A5FBA"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0D774541" w14:textId="77777777" w:rsidR="00D41140" w:rsidRDefault="00D41140" w:rsidP="00A16680">
            <w:pPr>
              <w:spacing w:after="60"/>
              <w:jc w:val="center"/>
              <w:rPr>
                <w:szCs w:val="20"/>
                <w:lang w:eastAsia="en-GB"/>
              </w:rPr>
            </w:pPr>
            <w:r>
              <w:rPr>
                <w:szCs w:val="20"/>
                <w:lang w:eastAsia="en-GB"/>
              </w:rPr>
              <w:t>We are true to ourselves and others</w:t>
            </w:r>
          </w:p>
        </w:tc>
      </w:tr>
    </w:tbl>
    <w:p w14:paraId="63D84F69" w14:textId="77777777" w:rsidR="00D41140" w:rsidRDefault="00D41140" w:rsidP="00FE75F9">
      <w:pPr>
        <w:spacing w:after="60"/>
        <w:rPr>
          <w:szCs w:val="20"/>
          <w:lang w:eastAsia="en-GB"/>
        </w:rPr>
      </w:pPr>
    </w:p>
    <w:p w14:paraId="4D5CA7D6" w14:textId="77777777" w:rsidR="00D64A79" w:rsidRDefault="00D64A79" w:rsidP="00D64A79">
      <w:pPr>
        <w:spacing w:after="60"/>
        <w:rPr>
          <w:rFonts w:cs="Arial"/>
          <w:b/>
          <w:bCs/>
          <w:color w:val="0095B3"/>
          <w:sz w:val="28"/>
          <w:lang w:eastAsia="en-GB"/>
        </w:rPr>
      </w:pPr>
      <w:r w:rsidRPr="00D64A79">
        <w:rPr>
          <w:rFonts w:cs="Arial"/>
          <w:b/>
          <w:bCs/>
          <w:color w:val="0095B3"/>
          <w:sz w:val="28"/>
          <w:lang w:eastAsia="en-GB"/>
        </w:rPr>
        <w:t xml:space="preserve">Mandatory qualifications/Professional registration/Other requirements </w:t>
      </w:r>
    </w:p>
    <w:p w14:paraId="2D6D4FF0" w14:textId="77777777" w:rsidR="0063694C" w:rsidRDefault="0063694C" w:rsidP="0063694C">
      <w:pPr>
        <w:pStyle w:val="ListParagraph"/>
        <w:widowControl w:val="0"/>
        <w:numPr>
          <w:ilvl w:val="0"/>
          <w:numId w:val="4"/>
        </w:numPr>
        <w:tabs>
          <w:tab w:val="left" w:pos="734"/>
        </w:tabs>
        <w:autoSpaceDE w:val="0"/>
        <w:autoSpaceDN w:val="0"/>
        <w:spacing w:before="64" w:after="0" w:line="235" w:lineRule="auto"/>
        <w:ind w:right="268"/>
        <w:contextualSpacing w:val="0"/>
        <w:jc w:val="both"/>
      </w:pPr>
      <w:r>
        <w:t>The position requires the incumbent to have obtained a degree qualification from a recognized tertiary institution and hold Current registration or eligibility for registration as a Medical Practitioner with the Medical Board</w:t>
      </w:r>
      <w:r>
        <w:rPr>
          <w:spacing w:val="-40"/>
        </w:rPr>
        <w:t xml:space="preserve"> </w:t>
      </w:r>
      <w:r>
        <w:t>of Australia</w:t>
      </w:r>
    </w:p>
    <w:p w14:paraId="55A07770" w14:textId="77777777" w:rsidR="0063694C" w:rsidRDefault="0063694C" w:rsidP="0063694C">
      <w:pPr>
        <w:pStyle w:val="ListParagraph"/>
        <w:widowControl w:val="0"/>
        <w:numPr>
          <w:ilvl w:val="0"/>
          <w:numId w:val="4"/>
        </w:numPr>
        <w:tabs>
          <w:tab w:val="left" w:pos="734"/>
        </w:tabs>
        <w:autoSpaceDE w:val="0"/>
        <w:autoSpaceDN w:val="0"/>
        <w:spacing w:before="3" w:after="0" w:line="237" w:lineRule="auto"/>
        <w:ind w:right="266"/>
        <w:contextualSpacing w:val="0"/>
        <w:jc w:val="both"/>
      </w:pPr>
      <w:r>
        <w:t>Appointment to this position requires proof of qualification and registration or membership with the appropriate registration authority or association. Certified copies of the required information must be provided to the appropriate supervisor/manager prior to commencement of clinical</w:t>
      </w:r>
      <w:r>
        <w:rPr>
          <w:spacing w:val="-1"/>
        </w:rPr>
        <w:t xml:space="preserve"> </w:t>
      </w:r>
      <w:r>
        <w:t>duties</w:t>
      </w:r>
    </w:p>
    <w:p w14:paraId="0812E7F2" w14:textId="78F8DCEE" w:rsidR="001644F5" w:rsidRDefault="0063694C" w:rsidP="0063694C">
      <w:pPr>
        <w:pStyle w:val="ListParagraph"/>
        <w:widowControl w:val="0"/>
        <w:numPr>
          <w:ilvl w:val="0"/>
          <w:numId w:val="4"/>
        </w:numPr>
        <w:tabs>
          <w:tab w:val="left" w:pos="734"/>
        </w:tabs>
        <w:autoSpaceDE w:val="0"/>
        <w:autoSpaceDN w:val="0"/>
        <w:spacing w:before="2" w:after="0"/>
        <w:contextualSpacing w:val="0"/>
        <w:jc w:val="both"/>
      </w:pPr>
      <w:r>
        <w:t>To be "on-call" or participate in shift rosters is a requirement of the</w:t>
      </w:r>
      <w:r>
        <w:rPr>
          <w:spacing w:val="-11"/>
        </w:rPr>
        <w:t xml:space="preserve"> </w:t>
      </w:r>
      <w:r>
        <w:t>position.</w:t>
      </w:r>
    </w:p>
    <w:p w14:paraId="7E408DBE" w14:textId="77777777" w:rsidR="001644F5" w:rsidRDefault="001644F5">
      <w:pPr>
        <w:spacing w:after="0"/>
      </w:pPr>
      <w:r>
        <w:br w:type="page"/>
      </w:r>
    </w:p>
    <w:p w14:paraId="047F3CB6" w14:textId="11D9F0D0" w:rsidR="00042A74" w:rsidRPr="00251A03" w:rsidRDefault="00042A74" w:rsidP="00AE0AE2">
      <w:pPr>
        <w:pStyle w:val="ListBullet"/>
        <w:numPr>
          <w:ilvl w:val="0"/>
          <w:numId w:val="4"/>
        </w:numPr>
        <w:spacing w:after="0" w:line="240" w:lineRule="auto"/>
        <w:rPr>
          <w:rFonts w:eastAsiaTheme="minorHAnsi" w:cstheme="minorBidi"/>
          <w:snapToGrid/>
          <w:lang w:val="en-GB" w:eastAsia="en-US"/>
        </w:rPr>
      </w:pPr>
      <w:bookmarkStart w:id="1" w:name="_Hlk42073545"/>
      <w:r w:rsidRPr="00251A03">
        <w:rPr>
          <w:rFonts w:eastAsiaTheme="minorHAnsi" w:cstheme="minorBidi"/>
          <w:snapToGrid/>
          <w:lang w:val="en-GB" w:eastAsia="en-US"/>
        </w:rPr>
        <w:lastRenderedPageBreak/>
        <w:t>In accordance with HR Policy B1, i</w:t>
      </w:r>
      <w:r w:rsidR="00D64A79" w:rsidRPr="00251A03">
        <w:rPr>
          <w:rFonts w:eastAsiaTheme="minorHAnsi" w:cstheme="minorBidi"/>
          <w:snapToGrid/>
          <w:lang w:val="en-GB" w:eastAsia="en-US"/>
        </w:rPr>
        <w:t>t is a mandatory condition of employment for this role to be vaccinated against, and remain vaccinated against</w:t>
      </w:r>
      <w:r w:rsidRPr="00251A03">
        <w:rPr>
          <w:rFonts w:eastAsiaTheme="minorHAnsi" w:cstheme="minorBidi"/>
          <w:snapToGrid/>
          <w:lang w:val="en-GB" w:eastAsia="en-US"/>
        </w:rPr>
        <w:t>:</w:t>
      </w:r>
    </w:p>
    <w:p w14:paraId="5D293F4A" w14:textId="70F81315" w:rsidR="00042A74" w:rsidRPr="00251A03" w:rsidRDefault="00042A74" w:rsidP="006D3FC8">
      <w:pPr>
        <w:pStyle w:val="ListBullet"/>
        <w:numPr>
          <w:ilvl w:val="2"/>
          <w:numId w:val="17"/>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M</w:t>
      </w:r>
      <w:r w:rsidR="00D64A79" w:rsidRPr="00251A03">
        <w:rPr>
          <w:rFonts w:eastAsiaTheme="minorHAnsi" w:cstheme="minorBidi"/>
          <w:snapToGrid/>
          <w:lang w:val="en-GB" w:eastAsia="en-US"/>
        </w:rPr>
        <w:t>easles</w:t>
      </w:r>
    </w:p>
    <w:p w14:paraId="350EF670" w14:textId="7800FD51" w:rsidR="00042A74" w:rsidRPr="00251A03" w:rsidRDefault="00042A74" w:rsidP="006D3FC8">
      <w:pPr>
        <w:pStyle w:val="ListBullet"/>
        <w:numPr>
          <w:ilvl w:val="2"/>
          <w:numId w:val="17"/>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M</w:t>
      </w:r>
      <w:r w:rsidR="00D64A79" w:rsidRPr="00251A03">
        <w:rPr>
          <w:rFonts w:eastAsiaTheme="minorHAnsi" w:cstheme="minorBidi"/>
          <w:snapToGrid/>
          <w:lang w:val="en-GB" w:eastAsia="en-US"/>
        </w:rPr>
        <w:t>umps</w:t>
      </w:r>
    </w:p>
    <w:p w14:paraId="33AEAC6E" w14:textId="590313D2" w:rsidR="00042A74" w:rsidRPr="00251A03" w:rsidRDefault="00042A74" w:rsidP="006D3FC8">
      <w:pPr>
        <w:pStyle w:val="ListBullet"/>
        <w:numPr>
          <w:ilvl w:val="2"/>
          <w:numId w:val="17"/>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R</w:t>
      </w:r>
      <w:r w:rsidR="00D64A79" w:rsidRPr="00251A03">
        <w:rPr>
          <w:rFonts w:eastAsiaTheme="minorHAnsi" w:cstheme="minorBidi"/>
          <w:snapToGrid/>
          <w:lang w:val="en-GB" w:eastAsia="en-US"/>
        </w:rPr>
        <w:t>ubella</w:t>
      </w:r>
    </w:p>
    <w:p w14:paraId="0F0642EC" w14:textId="661C41D1" w:rsidR="00042A74" w:rsidRPr="00251A03" w:rsidRDefault="00042A74" w:rsidP="006D3FC8">
      <w:pPr>
        <w:pStyle w:val="ListBullet"/>
        <w:numPr>
          <w:ilvl w:val="2"/>
          <w:numId w:val="17"/>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V</w:t>
      </w:r>
      <w:r w:rsidR="00D64A79" w:rsidRPr="00251A03">
        <w:rPr>
          <w:rFonts w:eastAsiaTheme="minorHAnsi" w:cstheme="minorBidi"/>
          <w:snapToGrid/>
          <w:lang w:val="en-GB" w:eastAsia="en-US"/>
        </w:rPr>
        <w:t>aricella (chicken pox)</w:t>
      </w:r>
    </w:p>
    <w:p w14:paraId="6FBC1312" w14:textId="25DCD072" w:rsidR="00042A74" w:rsidRPr="00251A03" w:rsidRDefault="00042A74" w:rsidP="006D3FC8">
      <w:pPr>
        <w:pStyle w:val="ListBullet"/>
        <w:numPr>
          <w:ilvl w:val="2"/>
          <w:numId w:val="17"/>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P</w:t>
      </w:r>
      <w:r w:rsidR="00D64A79" w:rsidRPr="00251A03">
        <w:rPr>
          <w:rFonts w:eastAsiaTheme="minorHAnsi" w:cstheme="minorBidi"/>
          <w:snapToGrid/>
          <w:lang w:val="en-GB" w:eastAsia="en-US"/>
        </w:rPr>
        <w:t>ertussis (whooping cough),</w:t>
      </w:r>
    </w:p>
    <w:p w14:paraId="4DEF9847" w14:textId="4FEEDF7D" w:rsidR="00042A74" w:rsidRPr="00251A03" w:rsidRDefault="00042A74" w:rsidP="00FA58FA">
      <w:pPr>
        <w:pStyle w:val="ListBullet"/>
        <w:numPr>
          <w:ilvl w:val="2"/>
          <w:numId w:val="17"/>
        </w:numPr>
        <w:spacing w:before="40" w:after="0" w:line="240" w:lineRule="auto"/>
        <w:rPr>
          <w:rFonts w:eastAsiaTheme="minorHAnsi" w:cstheme="minorBidi"/>
          <w:snapToGrid/>
          <w:lang w:val="en-GB" w:eastAsia="en-US"/>
        </w:rPr>
      </w:pPr>
      <w:r w:rsidRPr="00251A03">
        <w:rPr>
          <w:rFonts w:eastAsiaTheme="minorHAnsi" w:cstheme="minorBidi"/>
          <w:snapToGrid/>
          <w:lang w:val="en-GB" w:eastAsia="en-US"/>
        </w:rPr>
        <w:t>H</w:t>
      </w:r>
      <w:r w:rsidR="00D64A79" w:rsidRPr="00251A03">
        <w:rPr>
          <w:rFonts w:eastAsiaTheme="minorHAnsi" w:cstheme="minorBidi"/>
          <w:snapToGrid/>
          <w:lang w:val="en-GB" w:eastAsia="en-US"/>
        </w:rPr>
        <w:t>epatitis B</w:t>
      </w:r>
    </w:p>
    <w:p w14:paraId="7FDD4742" w14:textId="143F8B68" w:rsidR="005A61E0" w:rsidRPr="00251A03" w:rsidRDefault="001B62E9" w:rsidP="005A61E0">
      <w:pPr>
        <w:pStyle w:val="ListBullet"/>
        <w:numPr>
          <w:ilvl w:val="0"/>
          <w:numId w:val="4"/>
        </w:numPr>
        <w:spacing w:after="0" w:line="240" w:lineRule="auto"/>
        <w:rPr>
          <w:rFonts w:eastAsiaTheme="minorHAnsi" w:cstheme="minorBidi"/>
          <w:snapToGrid/>
          <w:lang w:val="en-GB" w:eastAsia="en-US"/>
        </w:rPr>
      </w:pPr>
      <w:r w:rsidRPr="00251A03">
        <w:rPr>
          <w:rFonts w:eastAsiaTheme="minorHAnsi" w:cstheme="minorBidi"/>
          <w:snapToGrid/>
          <w:lang w:val="en-GB" w:eastAsia="en-US"/>
        </w:rPr>
        <w:t>Further vaccinations may be required due to particular risks for a role;</w:t>
      </w:r>
      <w:r w:rsidR="00E223CC" w:rsidRPr="00251A03">
        <w:rPr>
          <w:rFonts w:eastAsiaTheme="minorHAnsi" w:cstheme="minorBidi"/>
          <w:snapToGrid/>
          <w:lang w:val="en-GB" w:eastAsia="en-US"/>
        </w:rPr>
        <w:t xml:space="preserve"> </w:t>
      </w:r>
    </w:p>
    <w:p w14:paraId="60A7C7A9" w14:textId="54C0C7A7" w:rsidR="005A61E0" w:rsidRPr="00251A03" w:rsidRDefault="005A61E0" w:rsidP="005A61E0">
      <w:pPr>
        <w:pStyle w:val="ListBullet"/>
        <w:numPr>
          <w:ilvl w:val="2"/>
          <w:numId w:val="17"/>
        </w:numPr>
        <w:spacing w:after="0" w:line="240" w:lineRule="auto"/>
        <w:rPr>
          <w:rFonts w:eastAsiaTheme="minorHAnsi" w:cstheme="minorBidi"/>
          <w:snapToGrid/>
          <w:lang w:val="en-GB" w:eastAsia="en-US"/>
        </w:rPr>
      </w:pPr>
      <w:r w:rsidRPr="00251A03">
        <w:rPr>
          <w:rFonts w:eastAsiaTheme="minorHAnsi" w:cstheme="minorBidi"/>
          <w:snapToGrid/>
          <w:lang w:val="en-GB" w:eastAsia="en-US"/>
        </w:rPr>
        <w:t>Hepatitis A</w:t>
      </w:r>
      <w:r w:rsidR="00251A03">
        <w:rPr>
          <w:rFonts w:eastAsiaTheme="minorHAnsi" w:cstheme="minorBidi"/>
          <w:snapToGrid/>
          <w:lang w:val="en-GB" w:eastAsia="en-US"/>
        </w:rPr>
        <w:t>:</w:t>
      </w:r>
      <w:r w:rsidRPr="00251A03">
        <w:rPr>
          <w:rFonts w:eastAsiaTheme="minorHAnsi" w:cstheme="minorBidi"/>
          <w:snapToGrid/>
          <w:lang w:val="en-GB" w:eastAsia="en-US"/>
        </w:rPr>
        <w:t xml:space="preserve"> Healthcare workers who regularly provide care for Aboriginal and Torres Strait Islander children and plumbers or sewerage workers.</w:t>
      </w:r>
    </w:p>
    <w:p w14:paraId="157DD15A" w14:textId="316004DF" w:rsidR="005A61E0" w:rsidRPr="00251A03" w:rsidRDefault="005A61E0" w:rsidP="005A61E0">
      <w:pPr>
        <w:pStyle w:val="ListBullet"/>
        <w:numPr>
          <w:ilvl w:val="2"/>
          <w:numId w:val="17"/>
        </w:numPr>
        <w:spacing w:after="0" w:line="240" w:lineRule="auto"/>
        <w:rPr>
          <w:rFonts w:eastAsiaTheme="minorHAnsi" w:cstheme="minorBidi"/>
          <w:snapToGrid/>
          <w:lang w:val="en-GB" w:eastAsia="en-US"/>
        </w:rPr>
      </w:pPr>
      <w:bookmarkStart w:id="2" w:name="_Hlk42264180"/>
      <w:r w:rsidRPr="00251A03">
        <w:rPr>
          <w:rFonts w:eastAsiaTheme="minorHAnsi" w:cstheme="minorBidi"/>
          <w:snapToGrid/>
          <w:lang w:val="en-GB" w:eastAsia="en-US"/>
        </w:rPr>
        <w:t>Tuberculosis</w:t>
      </w:r>
      <w:bookmarkEnd w:id="2"/>
      <w:r w:rsidR="00251A03">
        <w:rPr>
          <w:rFonts w:eastAsiaTheme="minorHAnsi" w:cstheme="minorBidi"/>
          <w:snapToGrid/>
          <w:lang w:val="en-GB" w:eastAsia="en-US"/>
        </w:rPr>
        <w:t>:</w:t>
      </w:r>
      <w:r w:rsidRPr="00251A03">
        <w:rPr>
          <w:rFonts w:eastAsiaTheme="minorHAnsi" w:cstheme="minorBidi"/>
          <w:snapToGrid/>
          <w:lang w:val="en-GB" w:eastAsia="en-US"/>
        </w:rPr>
        <w:t xml:space="preserve"> All new employees, including agency nurses and doctors, who will be working in clinical areas and students undergoing clinical placement in a Queensland Health facility must be assessed for their risk of Tuberculosis (TB) using the relevant TB risk assessment process.</w:t>
      </w:r>
    </w:p>
    <w:p w14:paraId="37356042" w14:textId="5C0ACBEA" w:rsidR="001B62E9" w:rsidRPr="00251A03" w:rsidRDefault="001B62E9" w:rsidP="00FA58FA">
      <w:pPr>
        <w:pStyle w:val="ListBullet"/>
        <w:numPr>
          <w:ilvl w:val="2"/>
          <w:numId w:val="17"/>
        </w:numPr>
        <w:spacing w:after="0" w:line="240" w:lineRule="auto"/>
        <w:rPr>
          <w:rFonts w:eastAsiaTheme="minorHAnsi" w:cstheme="minorBidi"/>
          <w:snapToGrid/>
          <w:lang w:val="en-GB" w:eastAsia="en-US"/>
        </w:rPr>
      </w:pPr>
      <w:r w:rsidRPr="00251A03">
        <w:rPr>
          <w:rFonts w:eastAsiaTheme="minorHAnsi" w:cstheme="minorBidi"/>
          <w:snapToGrid/>
          <w:lang w:val="en-GB" w:eastAsia="en-US"/>
        </w:rPr>
        <w:t>Influenza</w:t>
      </w:r>
      <w:r w:rsidR="00251A03">
        <w:rPr>
          <w:rFonts w:eastAsiaTheme="minorHAnsi" w:cstheme="minorBidi"/>
          <w:snapToGrid/>
          <w:lang w:val="en-GB" w:eastAsia="en-US"/>
        </w:rPr>
        <w:t>:</w:t>
      </w:r>
      <w:r w:rsidRPr="00251A03">
        <w:rPr>
          <w:rFonts w:eastAsiaTheme="minorHAnsi" w:cstheme="minorBidi"/>
          <w:snapToGrid/>
          <w:lang w:val="en-GB" w:eastAsia="en-US"/>
        </w:rPr>
        <w:t xml:space="preserve"> </w:t>
      </w:r>
      <w:r w:rsidR="006D3FC8" w:rsidRPr="00251A03">
        <w:rPr>
          <w:rFonts w:eastAsiaTheme="minorHAnsi" w:cstheme="minorBidi"/>
          <w:snapToGrid/>
          <w:lang w:val="en-GB" w:eastAsia="en-US"/>
        </w:rPr>
        <w:t xml:space="preserve">Roles that work in an Aged Care Facility </w:t>
      </w:r>
      <w:r w:rsidR="00FA58FA" w:rsidRPr="00251A03">
        <w:rPr>
          <w:rFonts w:eastAsiaTheme="minorHAnsi" w:cstheme="minorBidi"/>
          <w:snapToGrid/>
          <w:lang w:val="en-GB" w:eastAsia="en-US"/>
        </w:rPr>
        <w:t>in accordance with the Aged Care Direction (No.5)</w:t>
      </w:r>
    </w:p>
    <w:p w14:paraId="584C069C" w14:textId="6B167935" w:rsidR="00D64A79" w:rsidRPr="00251A03" w:rsidRDefault="00D64A79" w:rsidP="00FA58FA">
      <w:pPr>
        <w:pStyle w:val="ListBullet"/>
        <w:numPr>
          <w:ilvl w:val="0"/>
          <w:numId w:val="4"/>
        </w:numPr>
        <w:spacing w:after="0" w:line="240" w:lineRule="auto"/>
        <w:rPr>
          <w:rFonts w:eastAsiaTheme="minorHAnsi" w:cstheme="minorBidi"/>
          <w:snapToGrid/>
          <w:lang w:val="en-GB" w:eastAsia="en-US"/>
        </w:rPr>
      </w:pPr>
      <w:r w:rsidRPr="00251A03">
        <w:rPr>
          <w:rFonts w:eastAsiaTheme="minorHAnsi" w:cstheme="minorBidi"/>
          <w:snapToGrid/>
          <w:lang w:val="en-GB" w:eastAsia="en-US"/>
        </w:rPr>
        <w:t xml:space="preserve">Your offer of appointment to this role is therefore conditional upon satisfactory documentary evidence of required vaccinations/immunity being provided prior to commencement and your consent and agreement to maintain vaccination as required by Queensland Health policy.  </w:t>
      </w:r>
    </w:p>
    <w:bookmarkEnd w:id="1"/>
    <w:p w14:paraId="6C74E1F1" w14:textId="77777777" w:rsidR="008C6E0F" w:rsidRPr="001644F5" w:rsidRDefault="008C6E0F" w:rsidP="001644F5">
      <w:pPr>
        <w:spacing w:after="60"/>
        <w:rPr>
          <w:szCs w:val="20"/>
          <w:lang w:eastAsia="en-GB"/>
        </w:rPr>
      </w:pPr>
    </w:p>
    <w:p w14:paraId="5B0CC480" w14:textId="77777777" w:rsidR="00D64A79" w:rsidRDefault="00D64A79" w:rsidP="00D64A79">
      <w:pPr>
        <w:spacing w:after="60"/>
        <w:rPr>
          <w:rFonts w:cs="Arial"/>
          <w:b/>
          <w:bCs/>
          <w:color w:val="0095B3"/>
          <w:sz w:val="28"/>
          <w:lang w:eastAsia="en-GB"/>
        </w:rPr>
      </w:pPr>
      <w:r>
        <w:rPr>
          <w:rFonts w:cs="Arial"/>
          <w:b/>
          <w:bCs/>
          <w:color w:val="0095B3"/>
          <w:sz w:val="28"/>
          <w:lang w:eastAsia="en-GB"/>
        </w:rPr>
        <w:t>How you will be assessed?</w:t>
      </w:r>
    </w:p>
    <w:p w14:paraId="13DB3659" w14:textId="77777777" w:rsidR="001A0C14" w:rsidRPr="00B579D1" w:rsidRDefault="001A0C14" w:rsidP="00B579D1">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31E9230D" w14:textId="77777777" w:rsidR="0063694C" w:rsidRDefault="0063694C" w:rsidP="0063694C">
      <w:pPr>
        <w:pStyle w:val="ListParagraph"/>
        <w:widowControl w:val="0"/>
        <w:numPr>
          <w:ilvl w:val="0"/>
          <w:numId w:val="22"/>
        </w:numPr>
        <w:tabs>
          <w:tab w:val="left" w:pos="734"/>
        </w:tabs>
        <w:autoSpaceDE w:val="0"/>
        <w:autoSpaceDN w:val="0"/>
        <w:spacing w:before="121" w:after="0" w:line="242" w:lineRule="exact"/>
        <w:contextualSpacing w:val="0"/>
      </w:pPr>
      <w:r>
        <w:t>Highly developed clinical</w:t>
      </w:r>
      <w:r>
        <w:rPr>
          <w:spacing w:val="-6"/>
        </w:rPr>
        <w:t xml:space="preserve"> </w:t>
      </w:r>
      <w:r>
        <w:t>skills.</w:t>
      </w:r>
    </w:p>
    <w:p w14:paraId="57F26F08" w14:textId="77777777" w:rsidR="0063694C" w:rsidRDefault="0063694C" w:rsidP="0063694C">
      <w:pPr>
        <w:pStyle w:val="ListParagraph"/>
        <w:widowControl w:val="0"/>
        <w:numPr>
          <w:ilvl w:val="0"/>
          <w:numId w:val="22"/>
        </w:numPr>
        <w:tabs>
          <w:tab w:val="left" w:pos="734"/>
        </w:tabs>
        <w:autoSpaceDE w:val="0"/>
        <w:autoSpaceDN w:val="0"/>
        <w:spacing w:after="0" w:line="240" w:lineRule="exact"/>
        <w:contextualSpacing w:val="0"/>
      </w:pPr>
      <w:r>
        <w:t>Demonstrated skills in reviewing, analysing and evaluating patient</w:t>
      </w:r>
      <w:r>
        <w:rPr>
          <w:spacing w:val="-7"/>
        </w:rPr>
        <w:t xml:space="preserve"> </w:t>
      </w:r>
      <w:r>
        <w:t>care.</w:t>
      </w:r>
    </w:p>
    <w:p w14:paraId="0A9A606C" w14:textId="77777777" w:rsidR="0063694C" w:rsidRDefault="0063694C" w:rsidP="0063694C">
      <w:pPr>
        <w:pStyle w:val="ListParagraph"/>
        <w:widowControl w:val="0"/>
        <w:numPr>
          <w:ilvl w:val="0"/>
          <w:numId w:val="22"/>
        </w:numPr>
        <w:tabs>
          <w:tab w:val="left" w:pos="734"/>
        </w:tabs>
        <w:autoSpaceDE w:val="0"/>
        <w:autoSpaceDN w:val="0"/>
        <w:spacing w:after="0" w:line="240" w:lineRule="exact"/>
        <w:contextualSpacing w:val="0"/>
      </w:pPr>
      <w:r>
        <w:t>Demonstrated knowledge of current medical practices and</w:t>
      </w:r>
      <w:r>
        <w:rPr>
          <w:spacing w:val="-1"/>
        </w:rPr>
        <w:t xml:space="preserve"> </w:t>
      </w:r>
      <w:r>
        <w:t>issues.</w:t>
      </w:r>
    </w:p>
    <w:p w14:paraId="5F71D2E5" w14:textId="77777777" w:rsidR="0063694C" w:rsidRDefault="0063694C" w:rsidP="0063694C">
      <w:pPr>
        <w:pStyle w:val="ListParagraph"/>
        <w:widowControl w:val="0"/>
        <w:numPr>
          <w:ilvl w:val="0"/>
          <w:numId w:val="22"/>
        </w:numPr>
        <w:tabs>
          <w:tab w:val="left" w:pos="734"/>
        </w:tabs>
        <w:autoSpaceDE w:val="0"/>
        <w:autoSpaceDN w:val="0"/>
        <w:spacing w:before="2" w:after="0" w:line="235" w:lineRule="auto"/>
        <w:ind w:right="266"/>
        <w:contextualSpacing w:val="0"/>
      </w:pPr>
      <w:r>
        <w:t>High level verbal and written communication and interpersonal skills with the ability to relate to all levels of staff and hospital clients from a variety of</w:t>
      </w:r>
      <w:r>
        <w:rPr>
          <w:spacing w:val="-4"/>
        </w:rPr>
        <w:t xml:space="preserve"> </w:t>
      </w:r>
      <w:r>
        <w:t>backgrounds.</w:t>
      </w:r>
    </w:p>
    <w:p w14:paraId="2CB475DB" w14:textId="66ECC5A2" w:rsidR="0063694C" w:rsidRDefault="0063694C" w:rsidP="0063694C">
      <w:pPr>
        <w:pStyle w:val="ListParagraph"/>
        <w:widowControl w:val="0"/>
        <w:numPr>
          <w:ilvl w:val="0"/>
          <w:numId w:val="22"/>
        </w:numPr>
        <w:tabs>
          <w:tab w:val="left" w:pos="734"/>
        </w:tabs>
        <w:autoSpaceDE w:val="0"/>
        <w:autoSpaceDN w:val="0"/>
        <w:spacing w:before="2" w:after="0" w:line="242" w:lineRule="exact"/>
        <w:contextualSpacing w:val="0"/>
      </w:pPr>
      <w:r>
        <w:t xml:space="preserve">Ability to maintain accurate and complete medical records - clinical, </w:t>
      </w:r>
      <w:r w:rsidR="000F6A5C">
        <w:t xml:space="preserve">administrative </w:t>
      </w:r>
      <w:r>
        <w:t>and</w:t>
      </w:r>
      <w:r>
        <w:rPr>
          <w:spacing w:val="-14"/>
        </w:rPr>
        <w:t xml:space="preserve"> </w:t>
      </w:r>
      <w:r>
        <w:t>statistical.</w:t>
      </w:r>
    </w:p>
    <w:p w14:paraId="53BB64A3" w14:textId="77777777" w:rsidR="0063694C" w:rsidRDefault="0063694C" w:rsidP="0063694C">
      <w:pPr>
        <w:pStyle w:val="ListParagraph"/>
        <w:widowControl w:val="0"/>
        <w:numPr>
          <w:ilvl w:val="0"/>
          <w:numId w:val="22"/>
        </w:numPr>
        <w:tabs>
          <w:tab w:val="left" w:pos="734"/>
        </w:tabs>
        <w:autoSpaceDE w:val="0"/>
        <w:autoSpaceDN w:val="0"/>
        <w:spacing w:after="0" w:line="240" w:lineRule="exact"/>
        <w:contextualSpacing w:val="0"/>
      </w:pPr>
      <w:r>
        <w:t>Sound theoretical knowledge, practical skills and ethical behaviour required of a medical</w:t>
      </w:r>
      <w:r>
        <w:rPr>
          <w:spacing w:val="-18"/>
        </w:rPr>
        <w:t xml:space="preserve"> </w:t>
      </w:r>
      <w:r>
        <w:t>practitioner.</w:t>
      </w:r>
    </w:p>
    <w:p w14:paraId="48755114" w14:textId="027EC0E9" w:rsidR="00302861" w:rsidRPr="0063694C" w:rsidRDefault="0063694C" w:rsidP="0063694C">
      <w:pPr>
        <w:pStyle w:val="ListParagraph"/>
        <w:widowControl w:val="0"/>
        <w:numPr>
          <w:ilvl w:val="0"/>
          <w:numId w:val="22"/>
        </w:numPr>
        <w:tabs>
          <w:tab w:val="left" w:pos="734"/>
        </w:tabs>
        <w:autoSpaceDE w:val="0"/>
        <w:autoSpaceDN w:val="0"/>
        <w:spacing w:after="0" w:line="240" w:lineRule="exact"/>
        <w:contextualSpacing w:val="0"/>
      </w:pPr>
      <w:r>
        <w:t xml:space="preserve">Actively participate in a working environment supporting quality human resource management practices including employment equity, anti-discrimination, occupational </w:t>
      </w:r>
      <w:r w:rsidRPr="0063694C">
        <w:rPr>
          <w:spacing w:val="-3"/>
        </w:rPr>
        <w:t xml:space="preserve">health </w:t>
      </w:r>
      <w:r>
        <w:t xml:space="preserve">and </w:t>
      </w:r>
      <w:r w:rsidRPr="0063694C">
        <w:rPr>
          <w:spacing w:val="-3"/>
        </w:rPr>
        <w:t xml:space="preserve">safety, </w:t>
      </w:r>
      <w:r>
        <w:t xml:space="preserve">and </w:t>
      </w:r>
      <w:r w:rsidRPr="0063694C">
        <w:rPr>
          <w:spacing w:val="-3"/>
        </w:rPr>
        <w:t>ethical</w:t>
      </w:r>
      <w:r w:rsidRPr="0063694C">
        <w:rPr>
          <w:spacing w:val="-33"/>
        </w:rPr>
        <w:t xml:space="preserve"> </w:t>
      </w:r>
      <w:r w:rsidRPr="0063694C">
        <w:rPr>
          <w:spacing w:val="-3"/>
        </w:rPr>
        <w:t>behaviour</w:t>
      </w:r>
    </w:p>
    <w:p w14:paraId="1F7F0A13" w14:textId="77777777" w:rsidR="0063694C" w:rsidRPr="00302861" w:rsidRDefault="0063694C" w:rsidP="0063694C">
      <w:pPr>
        <w:pStyle w:val="ListBullet"/>
        <w:numPr>
          <w:ilvl w:val="0"/>
          <w:numId w:val="0"/>
        </w:numPr>
        <w:spacing w:after="60"/>
        <w:ind w:left="284" w:hanging="284"/>
        <w:rPr>
          <w:rFonts w:cs="Arial"/>
          <w:b/>
          <w:bCs/>
          <w:color w:val="0095B3"/>
          <w:sz w:val="28"/>
          <w:lang w:eastAsia="en-GB"/>
        </w:rPr>
      </w:pPr>
    </w:p>
    <w:p w14:paraId="57B44534" w14:textId="77777777" w:rsidR="001A0C14" w:rsidRDefault="001A0C14" w:rsidP="001A0C14">
      <w:pPr>
        <w:spacing w:after="60"/>
        <w:rPr>
          <w:rFonts w:cs="Arial"/>
          <w:b/>
          <w:bCs/>
          <w:color w:val="0095B3"/>
          <w:sz w:val="28"/>
          <w:lang w:eastAsia="en-GB"/>
        </w:rPr>
      </w:pPr>
      <w:r>
        <w:rPr>
          <w:rFonts w:cs="Arial"/>
          <w:b/>
          <w:bCs/>
          <w:color w:val="0095B3"/>
          <w:sz w:val="28"/>
          <w:lang w:eastAsia="en-GB"/>
        </w:rPr>
        <w:t>Your application</w:t>
      </w:r>
    </w:p>
    <w:p w14:paraId="39CFCD08" w14:textId="77777777" w:rsidR="001A0C14" w:rsidRPr="00B03E58" w:rsidRDefault="001A0C14" w:rsidP="00B4262B">
      <w:pPr>
        <w:spacing w:before="60" w:after="120"/>
        <w:rPr>
          <w:rFonts w:cs="Arial"/>
          <w:bCs/>
          <w:szCs w:val="20"/>
        </w:rPr>
      </w:pPr>
      <w:r w:rsidRPr="00B03E58">
        <w:rPr>
          <w:rFonts w:cs="Arial"/>
          <w:bCs/>
          <w:szCs w:val="20"/>
        </w:rPr>
        <w:t>Please provide the following information to the panel to assess your suitability:</w:t>
      </w:r>
    </w:p>
    <w:p w14:paraId="73F99062" w14:textId="77777777" w:rsidR="001A0C14" w:rsidRPr="00B03E58" w:rsidRDefault="001A0C14" w:rsidP="00AE0AE2">
      <w:pPr>
        <w:pStyle w:val="ListBullet"/>
        <w:numPr>
          <w:ilvl w:val="0"/>
          <w:numId w:val="4"/>
        </w:numPr>
        <w:spacing w:after="0" w:line="240" w:lineRule="auto"/>
        <w:rPr>
          <w:rFonts w:cs="Arial"/>
          <w:szCs w:val="20"/>
        </w:rPr>
      </w:pPr>
      <w:r w:rsidRPr="00B03E58">
        <w:rPr>
          <w:rFonts w:cs="Arial"/>
          <w:szCs w:val="20"/>
        </w:rPr>
        <w:t xml:space="preserve">Your current CV or resume, including the names and contact details of 2 referees.  Referees should have a thorough knowledge of your capabilities, work performance and conduct within the previous two years, and it is preferable to include your current/immediate/past supervisor  </w:t>
      </w:r>
    </w:p>
    <w:p w14:paraId="4824EFB2" w14:textId="77777777" w:rsidR="001A0C14" w:rsidRPr="002F21D6" w:rsidRDefault="001A0C14" w:rsidP="00AE0AE2">
      <w:pPr>
        <w:pStyle w:val="ListBullet"/>
        <w:numPr>
          <w:ilvl w:val="0"/>
          <w:numId w:val="4"/>
        </w:numPr>
        <w:spacing w:after="0" w:line="240" w:lineRule="auto"/>
        <w:rPr>
          <w:rFonts w:cs="Arial"/>
          <w:szCs w:val="20"/>
        </w:rPr>
      </w:pPr>
      <w:r w:rsidRPr="002F21D6">
        <w:rPr>
          <w:rFonts w:cs="Arial"/>
          <w:szCs w:val="20"/>
        </w:rPr>
        <w:t>A short response (maximum 2 pages) on how your experience, abilities, knowledge and personal qualities are relevant for the role, taking into account the key responsibilities and key attributes of the position.</w:t>
      </w:r>
    </w:p>
    <w:p w14:paraId="1385D837" w14:textId="77777777" w:rsidR="008A4324" w:rsidRDefault="008A4324" w:rsidP="001A0C14">
      <w:pPr>
        <w:spacing w:after="60"/>
        <w:rPr>
          <w:rFonts w:cs="Arial"/>
          <w:b/>
          <w:bCs/>
          <w:color w:val="0095B3"/>
          <w:sz w:val="28"/>
          <w:lang w:eastAsia="en-GB"/>
        </w:rPr>
      </w:pPr>
    </w:p>
    <w:p w14:paraId="6071CF07" w14:textId="05907FDC" w:rsidR="00BA54F4" w:rsidRDefault="00BA54F4" w:rsidP="001A0C14">
      <w:pPr>
        <w:spacing w:after="60"/>
        <w:rPr>
          <w:rFonts w:cs="Arial"/>
          <w:b/>
          <w:bCs/>
          <w:color w:val="0095B3"/>
          <w:sz w:val="28"/>
          <w:lang w:eastAsia="en-GB"/>
        </w:rPr>
      </w:pPr>
      <w:r>
        <w:rPr>
          <w:rFonts w:cs="Arial"/>
          <w:b/>
          <w:bCs/>
          <w:color w:val="0095B3"/>
          <w:sz w:val="28"/>
          <w:lang w:eastAsia="en-GB"/>
        </w:rPr>
        <w:t xml:space="preserve">Additional Information </w:t>
      </w:r>
    </w:p>
    <w:p w14:paraId="0920278C"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Applications will remain current for 12 mont</w:t>
      </w:r>
      <w:r>
        <w:rPr>
          <w:rFonts w:cs="Arial"/>
          <w:szCs w:val="20"/>
        </w:rPr>
        <w:t>hs/the duration of the vacancy</w:t>
      </w:r>
    </w:p>
    <w:p w14:paraId="3199DDD5" w14:textId="77777777" w:rsidR="00BA54F4" w:rsidRPr="00B03E58" w:rsidRDefault="00BA54F4" w:rsidP="00AE0AE2">
      <w:pPr>
        <w:pStyle w:val="ListBullet"/>
        <w:numPr>
          <w:ilvl w:val="0"/>
          <w:numId w:val="4"/>
        </w:numPr>
        <w:spacing w:after="0" w:line="240" w:lineRule="auto"/>
        <w:rPr>
          <w:rFonts w:cs="Arial"/>
          <w:szCs w:val="20"/>
        </w:rPr>
      </w:pPr>
      <w:r w:rsidRPr="002F21D6">
        <w:rPr>
          <w:rFonts w:cs="Arial"/>
          <w:szCs w:val="20"/>
        </w:rPr>
        <w:t>Future vacancies of a temporary, full time and part time nature may also be filled through this recruitment process</w:t>
      </w:r>
    </w:p>
    <w:p w14:paraId="76E00227"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t>Pre-employment screening, including criminal history and discipline history checks, may be undertaken on persons recommended for employment. Roles providing health, counselling and support services mainly to children will require a Blue Card, unless otherwise exempt</w:t>
      </w:r>
      <w:r w:rsidRPr="002F21D6">
        <w:rPr>
          <w:rFonts w:cs="Arial"/>
          <w:szCs w:val="20"/>
        </w:rPr>
        <w:t xml:space="preserve">  </w:t>
      </w:r>
    </w:p>
    <w:p w14:paraId="0ABF80D7" w14:textId="77777777" w:rsidR="00BA54F4" w:rsidRPr="002F21D6" w:rsidRDefault="00BA54F4" w:rsidP="00AE0AE2">
      <w:pPr>
        <w:pStyle w:val="ListBullet"/>
        <w:numPr>
          <w:ilvl w:val="0"/>
          <w:numId w:val="4"/>
        </w:numPr>
        <w:spacing w:after="0" w:line="240" w:lineRule="auto"/>
        <w:rPr>
          <w:rFonts w:cs="Arial"/>
          <w:szCs w:val="20"/>
        </w:rPr>
      </w:pPr>
      <w:r w:rsidRPr="00B03E58">
        <w:rPr>
          <w:rFonts w:cs="Arial"/>
          <w:szCs w:val="20"/>
        </w:rPr>
        <w:t>Employees who are permanently appointed to Queensland Health may be required to undertake a period of probation appropriate to the appointment</w:t>
      </w:r>
      <w:r w:rsidRPr="002F21D6">
        <w:rPr>
          <w:rFonts w:cs="Arial"/>
          <w:szCs w:val="20"/>
        </w:rPr>
        <w:t xml:space="preserve">  </w:t>
      </w:r>
    </w:p>
    <w:p w14:paraId="6FBE7685" w14:textId="77777777" w:rsidR="00BA54F4" w:rsidRPr="00B03E58" w:rsidRDefault="00BA54F4" w:rsidP="00AE0AE2">
      <w:pPr>
        <w:pStyle w:val="ListBullet"/>
        <w:numPr>
          <w:ilvl w:val="0"/>
          <w:numId w:val="4"/>
        </w:numPr>
        <w:spacing w:after="0" w:line="240" w:lineRule="auto"/>
        <w:rPr>
          <w:rFonts w:cs="Arial"/>
          <w:szCs w:val="20"/>
        </w:rPr>
      </w:pPr>
      <w:r w:rsidRPr="00B03E58">
        <w:rPr>
          <w:rFonts w:cs="Arial"/>
          <w:szCs w:val="20"/>
        </w:rPr>
        <w:lastRenderedPageBreak/>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78D5B1EB" w14:textId="77777777" w:rsidR="00BA54F4" w:rsidRDefault="00BA54F4" w:rsidP="00AE0AE2">
      <w:pPr>
        <w:pStyle w:val="ListBullet"/>
        <w:numPr>
          <w:ilvl w:val="0"/>
          <w:numId w:val="4"/>
        </w:numPr>
        <w:spacing w:after="0" w:line="240" w:lineRule="auto"/>
        <w:rPr>
          <w:rFonts w:cs="Arial"/>
          <w:szCs w:val="20"/>
        </w:rPr>
      </w:pPr>
      <w:r w:rsidRPr="00B03E58">
        <w:rPr>
          <w:rFonts w:cs="Arial"/>
          <w:szCs w:val="20"/>
        </w:rPr>
        <w:t xml:space="preserve">Applicants will be required to give a statement of their employment as a lobbyist within one (1) month of taking up the appointment.  Details are available at </w:t>
      </w:r>
      <w:hyperlink r:id="rId11" w:history="1">
        <w:r w:rsidR="002F21D6" w:rsidRPr="00490C56">
          <w:rPr>
            <w:rStyle w:val="Hyperlink"/>
          </w:rPr>
          <w:t>http://www.psc.qld.gov.au/library/document/policy/lobbyist-disclosure-policy.pdf</w:t>
        </w:r>
      </w:hyperlink>
      <w:r w:rsidR="002F21D6">
        <w:t xml:space="preserve"> </w:t>
      </w:r>
    </w:p>
    <w:p w14:paraId="74F0CA15" w14:textId="67C7D36D" w:rsidR="00D8070F" w:rsidRPr="0063694C" w:rsidRDefault="00BA54F4" w:rsidP="0063694C">
      <w:pPr>
        <w:pStyle w:val="ListBullet"/>
        <w:numPr>
          <w:ilvl w:val="0"/>
          <w:numId w:val="4"/>
        </w:numPr>
        <w:spacing w:after="0" w:line="240" w:lineRule="auto"/>
        <w:rPr>
          <w:rFonts w:cs="Arial"/>
          <w:szCs w:val="20"/>
        </w:rPr>
      </w:pPr>
      <w:r w:rsidRPr="00BA54F4">
        <w:rPr>
          <w:rFonts w:cs="Arial"/>
          <w:szCs w:val="20"/>
        </w:rPr>
        <w:t xml:space="preserve">Applicants may be required to disclose any pre-existing illness or injury which may impact on their ability to perform the role. Details are available in section 571 of the </w:t>
      </w:r>
      <w:r w:rsidRPr="002F21D6">
        <w:rPr>
          <w:rFonts w:cs="Arial"/>
          <w:i/>
          <w:szCs w:val="20"/>
        </w:rPr>
        <w:t>Workers’ Compensation and Rehabilitation Act 2003</w:t>
      </w:r>
      <w:r w:rsidRPr="002F21D6">
        <w:rPr>
          <w:rFonts w:cs="Arial"/>
          <w:szCs w:val="20"/>
        </w:rPr>
        <w:t xml:space="preserve"> (</w:t>
      </w:r>
      <w:hyperlink r:id="rId12" w:history="1">
        <w:r w:rsidR="002F21D6" w:rsidRPr="00490C56">
          <w:rPr>
            <w:rStyle w:val="Hyperlink"/>
          </w:rPr>
          <w:t>http://www.justice.qld.gov.au/fair-and-safe-work/workers-compensation-and-rehabilitation/workers-compensation-and-rehabilitation-legislation/workers-compensation-and-rehabilitation-act-2003</w:t>
        </w:r>
      </w:hyperlink>
      <w:r w:rsidR="002F21D6">
        <w:t xml:space="preserve"> </w:t>
      </w:r>
    </w:p>
    <w:p w14:paraId="47ED6A3C" w14:textId="77777777" w:rsidR="0063694C" w:rsidRDefault="0063694C" w:rsidP="0063694C">
      <w:pPr>
        <w:spacing w:before="49"/>
        <w:ind w:left="306"/>
        <w:rPr>
          <w:rFonts w:cs="Arial"/>
          <w:b/>
          <w:bCs/>
          <w:color w:val="0095B3"/>
          <w:sz w:val="28"/>
          <w:lang w:eastAsia="en-GB"/>
        </w:rPr>
      </w:pPr>
    </w:p>
    <w:p w14:paraId="2741BCFC" w14:textId="6FEBE642" w:rsidR="0063694C" w:rsidRDefault="00345810" w:rsidP="0063694C">
      <w:pPr>
        <w:spacing w:before="49"/>
        <w:ind w:left="306"/>
        <w:rPr>
          <w:i/>
        </w:rPr>
      </w:pPr>
      <w:r>
        <w:rPr>
          <w:rFonts w:cs="Arial"/>
          <w:b/>
          <w:bCs/>
          <w:color w:val="0095B3"/>
          <w:sz w:val="28"/>
          <w:lang w:eastAsia="en-GB"/>
        </w:rPr>
        <w:t>O</w:t>
      </w:r>
      <w:r w:rsidR="00BA54F4" w:rsidRPr="00BA54F4">
        <w:rPr>
          <w:rFonts w:cs="Arial"/>
          <w:b/>
          <w:bCs/>
          <w:color w:val="0095B3"/>
          <w:sz w:val="28"/>
          <w:lang w:eastAsia="en-GB"/>
        </w:rPr>
        <w:t>RGANISATIONAL CHART:</w:t>
      </w:r>
      <w:r w:rsidR="00BA54F4" w:rsidRPr="003B0BDB">
        <w:rPr>
          <w:rFonts w:cs="Arial"/>
          <w:b/>
          <w:color w:val="1F497D"/>
          <w:sz w:val="32"/>
        </w:rPr>
        <w:br/>
      </w:r>
      <w:r w:rsidR="0063694C">
        <w:rPr>
          <w:i/>
          <w:color w:val="0095B3"/>
        </w:rPr>
        <w:t>Emergency Department, Mount Isa Hospital</w:t>
      </w:r>
    </w:p>
    <w:p w14:paraId="7E081CD1" w14:textId="77777777" w:rsidR="0063694C" w:rsidRDefault="0063694C" w:rsidP="0063694C">
      <w:pPr>
        <w:pStyle w:val="BodyText"/>
        <w:rPr>
          <w:i/>
        </w:rPr>
      </w:pPr>
    </w:p>
    <w:p w14:paraId="1846682D" w14:textId="77777777" w:rsidR="0063694C" w:rsidRDefault="0063694C" w:rsidP="0063694C">
      <w:pPr>
        <w:pStyle w:val="BodyText"/>
        <w:spacing w:before="1"/>
        <w:rPr>
          <w:i/>
          <w:sz w:val="11"/>
        </w:rPr>
      </w:pPr>
    </w:p>
    <w:tbl>
      <w:tblPr>
        <w:tblW w:w="0" w:type="auto"/>
        <w:tblInd w:w="3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1"/>
        <w:gridCol w:w="2151"/>
      </w:tblGrid>
      <w:tr w:rsidR="0063694C" w14:paraId="797F829D" w14:textId="77777777" w:rsidTr="008830C0">
        <w:trPr>
          <w:trHeight w:val="602"/>
        </w:trPr>
        <w:tc>
          <w:tcPr>
            <w:tcW w:w="4262" w:type="dxa"/>
            <w:gridSpan w:val="2"/>
          </w:tcPr>
          <w:p w14:paraId="60174FB3" w14:textId="77777777" w:rsidR="0063694C" w:rsidRDefault="0063694C" w:rsidP="008830C0">
            <w:pPr>
              <w:pStyle w:val="TableParagraph"/>
              <w:spacing w:before="70"/>
              <w:ind w:left="229" w:right="214"/>
              <w:jc w:val="center"/>
              <w:rPr>
                <w:sz w:val="20"/>
              </w:rPr>
            </w:pPr>
            <w:r>
              <w:rPr>
                <w:sz w:val="20"/>
              </w:rPr>
              <w:t>Board</w:t>
            </w:r>
          </w:p>
          <w:p w14:paraId="79597F8F" w14:textId="77777777" w:rsidR="0063694C" w:rsidRDefault="0063694C" w:rsidP="008830C0">
            <w:pPr>
              <w:pStyle w:val="TableParagraph"/>
              <w:spacing w:before="1"/>
              <w:ind w:left="226" w:right="214"/>
              <w:jc w:val="center"/>
              <w:rPr>
                <w:sz w:val="20"/>
              </w:rPr>
            </w:pPr>
            <w:r>
              <w:rPr>
                <w:sz w:val="20"/>
              </w:rPr>
              <w:t>North West Hospital and Health Board</w:t>
            </w:r>
          </w:p>
        </w:tc>
      </w:tr>
      <w:tr w:rsidR="0063694C" w14:paraId="44AB0BC9" w14:textId="77777777" w:rsidTr="008830C0">
        <w:trPr>
          <w:trHeight w:val="263"/>
        </w:trPr>
        <w:tc>
          <w:tcPr>
            <w:tcW w:w="2111" w:type="dxa"/>
            <w:tcBorders>
              <w:left w:val="nil"/>
            </w:tcBorders>
          </w:tcPr>
          <w:p w14:paraId="2BC2B001" w14:textId="77777777" w:rsidR="0063694C" w:rsidRDefault="0063694C" w:rsidP="008830C0">
            <w:pPr>
              <w:pStyle w:val="TableParagraph"/>
              <w:rPr>
                <w:rFonts w:ascii="Times New Roman"/>
                <w:sz w:val="18"/>
              </w:rPr>
            </w:pPr>
          </w:p>
        </w:tc>
        <w:tc>
          <w:tcPr>
            <w:tcW w:w="2151" w:type="dxa"/>
            <w:tcBorders>
              <w:right w:val="nil"/>
            </w:tcBorders>
          </w:tcPr>
          <w:p w14:paraId="66E6F0A6" w14:textId="77777777" w:rsidR="0063694C" w:rsidRDefault="0063694C" w:rsidP="008830C0">
            <w:pPr>
              <w:pStyle w:val="TableParagraph"/>
              <w:rPr>
                <w:rFonts w:ascii="Times New Roman"/>
                <w:sz w:val="18"/>
              </w:rPr>
            </w:pPr>
          </w:p>
        </w:tc>
      </w:tr>
      <w:tr w:rsidR="0063694C" w14:paraId="35C86184" w14:textId="77777777" w:rsidTr="008830C0">
        <w:trPr>
          <w:trHeight w:val="602"/>
        </w:trPr>
        <w:tc>
          <w:tcPr>
            <w:tcW w:w="4262" w:type="dxa"/>
            <w:gridSpan w:val="2"/>
          </w:tcPr>
          <w:p w14:paraId="70F0050B" w14:textId="77777777" w:rsidR="0063694C" w:rsidRDefault="0063694C" w:rsidP="008830C0">
            <w:pPr>
              <w:pStyle w:val="TableParagraph"/>
              <w:spacing w:before="71"/>
              <w:ind w:left="222" w:right="214"/>
              <w:jc w:val="center"/>
              <w:rPr>
                <w:sz w:val="20"/>
              </w:rPr>
            </w:pPr>
            <w:r>
              <w:rPr>
                <w:sz w:val="20"/>
              </w:rPr>
              <w:t>Chief Executive</w:t>
            </w:r>
          </w:p>
          <w:p w14:paraId="42FE6DD5" w14:textId="77777777" w:rsidR="0063694C" w:rsidRDefault="0063694C" w:rsidP="008830C0">
            <w:pPr>
              <w:pStyle w:val="TableParagraph"/>
              <w:ind w:left="221" w:right="214"/>
              <w:jc w:val="center"/>
              <w:rPr>
                <w:sz w:val="20"/>
              </w:rPr>
            </w:pPr>
            <w:r>
              <w:rPr>
                <w:sz w:val="20"/>
              </w:rPr>
              <w:t>North West Hospital and Health Service</w:t>
            </w:r>
          </w:p>
        </w:tc>
      </w:tr>
      <w:tr w:rsidR="0063694C" w14:paraId="45F89B9E" w14:textId="77777777" w:rsidTr="008830C0">
        <w:trPr>
          <w:trHeight w:val="278"/>
        </w:trPr>
        <w:tc>
          <w:tcPr>
            <w:tcW w:w="2111" w:type="dxa"/>
            <w:tcBorders>
              <w:left w:val="nil"/>
            </w:tcBorders>
          </w:tcPr>
          <w:p w14:paraId="6351D653" w14:textId="77777777" w:rsidR="0063694C" w:rsidRDefault="0063694C" w:rsidP="008830C0">
            <w:pPr>
              <w:pStyle w:val="TableParagraph"/>
              <w:rPr>
                <w:rFonts w:ascii="Times New Roman"/>
                <w:sz w:val="20"/>
              </w:rPr>
            </w:pPr>
          </w:p>
        </w:tc>
        <w:tc>
          <w:tcPr>
            <w:tcW w:w="2151" w:type="dxa"/>
            <w:tcBorders>
              <w:right w:val="nil"/>
            </w:tcBorders>
          </w:tcPr>
          <w:p w14:paraId="55981208" w14:textId="77777777" w:rsidR="0063694C" w:rsidRDefault="0063694C" w:rsidP="008830C0">
            <w:pPr>
              <w:pStyle w:val="TableParagraph"/>
              <w:rPr>
                <w:rFonts w:ascii="Times New Roman"/>
                <w:sz w:val="20"/>
              </w:rPr>
            </w:pPr>
          </w:p>
        </w:tc>
      </w:tr>
      <w:tr w:rsidR="0063694C" w14:paraId="739AC2A8" w14:textId="77777777" w:rsidTr="008830C0">
        <w:trPr>
          <w:trHeight w:val="832"/>
        </w:trPr>
        <w:tc>
          <w:tcPr>
            <w:tcW w:w="4262" w:type="dxa"/>
            <w:gridSpan w:val="2"/>
          </w:tcPr>
          <w:p w14:paraId="6D76C6A6" w14:textId="77777777" w:rsidR="0063694C" w:rsidRDefault="0063694C" w:rsidP="008830C0">
            <w:pPr>
              <w:pStyle w:val="TableParagraph"/>
              <w:spacing w:before="71"/>
              <w:ind w:left="231" w:right="214"/>
              <w:jc w:val="center"/>
              <w:rPr>
                <w:sz w:val="20"/>
              </w:rPr>
            </w:pPr>
            <w:r>
              <w:rPr>
                <w:sz w:val="20"/>
              </w:rPr>
              <w:t>Executive Director of Medical Services and Clinical Governance</w:t>
            </w:r>
          </w:p>
          <w:p w14:paraId="00AFCEBC" w14:textId="77777777" w:rsidR="0063694C" w:rsidRDefault="0063694C" w:rsidP="008830C0">
            <w:pPr>
              <w:pStyle w:val="TableParagraph"/>
              <w:spacing w:line="228" w:lineRule="exact"/>
              <w:ind w:left="228" w:right="214"/>
              <w:jc w:val="center"/>
              <w:rPr>
                <w:sz w:val="20"/>
              </w:rPr>
            </w:pPr>
            <w:r>
              <w:rPr>
                <w:sz w:val="20"/>
              </w:rPr>
              <w:t>North West Hospital and Health Service</w:t>
            </w:r>
          </w:p>
        </w:tc>
      </w:tr>
      <w:tr w:rsidR="0063694C" w14:paraId="4968076D" w14:textId="77777777" w:rsidTr="008830C0">
        <w:trPr>
          <w:trHeight w:val="244"/>
        </w:trPr>
        <w:tc>
          <w:tcPr>
            <w:tcW w:w="2111" w:type="dxa"/>
            <w:tcBorders>
              <w:left w:val="nil"/>
            </w:tcBorders>
          </w:tcPr>
          <w:p w14:paraId="132AA85D" w14:textId="77777777" w:rsidR="0063694C" w:rsidRDefault="0063694C" w:rsidP="008830C0">
            <w:pPr>
              <w:pStyle w:val="TableParagraph"/>
              <w:rPr>
                <w:rFonts w:ascii="Times New Roman"/>
                <w:sz w:val="16"/>
              </w:rPr>
            </w:pPr>
          </w:p>
        </w:tc>
        <w:tc>
          <w:tcPr>
            <w:tcW w:w="2151" w:type="dxa"/>
            <w:tcBorders>
              <w:right w:val="nil"/>
            </w:tcBorders>
          </w:tcPr>
          <w:p w14:paraId="6689A411" w14:textId="77777777" w:rsidR="0063694C" w:rsidRDefault="0063694C" w:rsidP="008830C0">
            <w:pPr>
              <w:pStyle w:val="TableParagraph"/>
              <w:rPr>
                <w:rFonts w:ascii="Times New Roman"/>
                <w:sz w:val="16"/>
              </w:rPr>
            </w:pPr>
          </w:p>
        </w:tc>
      </w:tr>
      <w:tr w:rsidR="0063694C" w14:paraId="7444D871" w14:textId="77777777" w:rsidTr="008830C0">
        <w:trPr>
          <w:trHeight w:val="602"/>
        </w:trPr>
        <w:tc>
          <w:tcPr>
            <w:tcW w:w="4262" w:type="dxa"/>
            <w:gridSpan w:val="2"/>
          </w:tcPr>
          <w:p w14:paraId="36F1C5FA" w14:textId="77777777" w:rsidR="0063694C" w:rsidRDefault="0063694C" w:rsidP="008830C0">
            <w:pPr>
              <w:pStyle w:val="TableParagraph"/>
              <w:spacing w:before="70"/>
              <w:ind w:left="365" w:right="338" w:firstLine="328"/>
              <w:rPr>
                <w:sz w:val="20"/>
              </w:rPr>
            </w:pPr>
            <w:r>
              <w:rPr>
                <w:sz w:val="20"/>
              </w:rPr>
              <w:t>Emergency Department Director North West Hospital and Health Service</w:t>
            </w:r>
          </w:p>
        </w:tc>
      </w:tr>
      <w:tr w:rsidR="0063694C" w14:paraId="407502D5" w14:textId="77777777" w:rsidTr="008830C0">
        <w:trPr>
          <w:trHeight w:val="258"/>
        </w:trPr>
        <w:tc>
          <w:tcPr>
            <w:tcW w:w="2111" w:type="dxa"/>
            <w:tcBorders>
              <w:left w:val="nil"/>
            </w:tcBorders>
          </w:tcPr>
          <w:p w14:paraId="103051FA" w14:textId="77777777" w:rsidR="0063694C" w:rsidRDefault="0063694C" w:rsidP="008830C0">
            <w:pPr>
              <w:pStyle w:val="TableParagraph"/>
              <w:rPr>
                <w:rFonts w:ascii="Times New Roman"/>
                <w:sz w:val="18"/>
              </w:rPr>
            </w:pPr>
          </w:p>
        </w:tc>
        <w:tc>
          <w:tcPr>
            <w:tcW w:w="2151" w:type="dxa"/>
            <w:tcBorders>
              <w:right w:val="nil"/>
            </w:tcBorders>
          </w:tcPr>
          <w:p w14:paraId="28C59F17" w14:textId="77777777" w:rsidR="0063694C" w:rsidRDefault="0063694C" w:rsidP="008830C0">
            <w:pPr>
              <w:pStyle w:val="TableParagraph"/>
              <w:rPr>
                <w:rFonts w:ascii="Times New Roman"/>
                <w:sz w:val="18"/>
              </w:rPr>
            </w:pPr>
          </w:p>
        </w:tc>
      </w:tr>
      <w:tr w:rsidR="0063694C" w14:paraId="1AE1252D" w14:textId="77777777" w:rsidTr="008830C0">
        <w:trPr>
          <w:trHeight w:val="602"/>
        </w:trPr>
        <w:tc>
          <w:tcPr>
            <w:tcW w:w="4262" w:type="dxa"/>
            <w:gridSpan w:val="2"/>
          </w:tcPr>
          <w:p w14:paraId="63FA782C" w14:textId="77777777" w:rsidR="0063694C" w:rsidRDefault="0063694C" w:rsidP="008830C0">
            <w:pPr>
              <w:pStyle w:val="TableParagraph"/>
              <w:spacing w:before="71"/>
              <w:ind w:left="812" w:right="570" w:hanging="190"/>
              <w:rPr>
                <w:sz w:val="20"/>
              </w:rPr>
            </w:pPr>
            <w:r>
              <w:rPr>
                <w:sz w:val="20"/>
              </w:rPr>
              <w:t>Emergency Senior Medical Officer Intern, JHO, SHO, PHO, REG</w:t>
            </w:r>
          </w:p>
        </w:tc>
      </w:tr>
    </w:tbl>
    <w:p w14:paraId="5E7DCE5B" w14:textId="4A5BE61F" w:rsidR="00BA54F4" w:rsidRPr="00BA54F4" w:rsidRDefault="00BA54F4" w:rsidP="0063694C">
      <w:pPr>
        <w:pStyle w:val="BodyText"/>
        <w:rPr>
          <w:rFonts w:cs="Arial"/>
          <w:szCs w:val="20"/>
        </w:rPr>
      </w:pPr>
    </w:p>
    <w:sectPr w:rsidR="00BA54F4" w:rsidRPr="00BA54F4" w:rsidSect="00CB37DE">
      <w:headerReference w:type="even" r:id="rId13"/>
      <w:footerReference w:type="even" r:id="rId14"/>
      <w:footerReference w:type="default" r:id="rId15"/>
      <w:headerReference w:type="first" r:id="rId16"/>
      <w:footerReference w:type="first" r:id="rId17"/>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10CB" w14:textId="77777777" w:rsidR="00595296" w:rsidRDefault="00595296" w:rsidP="000F3211">
      <w:r>
        <w:separator/>
      </w:r>
    </w:p>
    <w:p w14:paraId="52AEFDD5" w14:textId="77777777" w:rsidR="00595296" w:rsidRDefault="00595296"/>
  </w:endnote>
  <w:endnote w:type="continuationSeparator" w:id="0">
    <w:p w14:paraId="7FF51E4E" w14:textId="77777777" w:rsidR="00595296" w:rsidRDefault="00595296" w:rsidP="000F3211">
      <w:r>
        <w:continuationSeparator/>
      </w:r>
    </w:p>
    <w:p w14:paraId="79988740" w14:textId="77777777" w:rsidR="00595296" w:rsidRDefault="00595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0C01" w14:textId="77777777" w:rsidR="009B4406" w:rsidRDefault="009B4406" w:rsidP="00CB37DE">
    <w:pPr>
      <w:framePr w:wrap="none" w:vAnchor="text" w:hAnchor="margin" w:xAlign="center" w:y="1"/>
    </w:pPr>
    <w:r>
      <w:fldChar w:fldCharType="begin"/>
    </w:r>
    <w:r>
      <w:instrText xml:space="preserve">PAGE  </w:instrText>
    </w:r>
    <w:r>
      <w:fldChar w:fldCharType="end"/>
    </w:r>
  </w:p>
  <w:p w14:paraId="6D10632B" w14:textId="77777777" w:rsidR="009B4406" w:rsidRDefault="009B4406"/>
  <w:p w14:paraId="28B95C89"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B58" w14:textId="77777777" w:rsidR="009B4406" w:rsidRDefault="009B4406">
    <w:r>
      <w:rPr>
        <w:noProof/>
        <w:lang w:val="en-AU" w:eastAsia="en-AU"/>
      </w:rPr>
      <w:drawing>
        <wp:anchor distT="0" distB="0" distL="114300" distR="114300" simplePos="0" relativeHeight="251668480" behindDoc="1" locked="0" layoutInCell="1" allowOverlap="1" wp14:anchorId="286E70DA" wp14:editId="2FEC2C1F">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16FD285C"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C7C"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692B04A5" wp14:editId="325E1D23">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FA4B" w14:textId="77777777" w:rsidR="00595296" w:rsidRDefault="00595296" w:rsidP="000F3211">
      <w:r>
        <w:separator/>
      </w:r>
    </w:p>
    <w:p w14:paraId="578EB0E3" w14:textId="77777777" w:rsidR="00595296" w:rsidRDefault="00595296"/>
  </w:footnote>
  <w:footnote w:type="continuationSeparator" w:id="0">
    <w:p w14:paraId="5A3EAA27" w14:textId="77777777" w:rsidR="00595296" w:rsidRDefault="00595296" w:rsidP="000F3211">
      <w:r>
        <w:continuationSeparator/>
      </w:r>
    </w:p>
    <w:p w14:paraId="31127941" w14:textId="77777777" w:rsidR="00595296" w:rsidRDefault="005952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6FD" w14:textId="77777777" w:rsidR="009B4406" w:rsidRDefault="009B4406"/>
  <w:p w14:paraId="10978D24"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EF0F"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12655B56" wp14:editId="556D9CF3">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024E3D"/>
    <w:multiLevelType w:val="hybridMultilevel"/>
    <w:tmpl w:val="CDC7D4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9305C8"/>
    <w:multiLevelType w:val="multilevel"/>
    <w:tmpl w:val="F972422C"/>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
      <w:lvlJc w:val="left"/>
      <w:pPr>
        <w:tabs>
          <w:tab w:val="num" w:pos="851"/>
        </w:tabs>
        <w:ind w:left="851" w:hanging="284"/>
      </w:pPr>
      <w:rPr>
        <w:rFonts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 w15:restartNumberingAfterBreak="0">
    <w:nsid w:val="0E3589D2"/>
    <w:multiLevelType w:val="hybridMultilevel"/>
    <w:tmpl w:val="4B927B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50A89"/>
    <w:multiLevelType w:val="hybridMultilevel"/>
    <w:tmpl w:val="4A480E64"/>
    <w:lvl w:ilvl="0" w:tplc="7D6293AC">
      <w:start w:val="23"/>
      <w:numFmt w:val="bullet"/>
      <w:lvlText w:val=""/>
      <w:lvlJc w:val="left"/>
      <w:pPr>
        <w:ind w:left="720" w:hanging="360"/>
      </w:pPr>
      <w:rPr>
        <w:rFonts w:ascii="Symbol" w:eastAsia="Calibri" w:hAnsi="Symbol" w:cs="Times New Roman" w:hint="default"/>
        <w:color w:val="F582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9" w15:restartNumberingAfterBreak="0">
    <w:nsid w:val="53E37280"/>
    <w:multiLevelType w:val="hybridMultilevel"/>
    <w:tmpl w:val="EDD47AE4"/>
    <w:lvl w:ilvl="0" w:tplc="E3D028D6">
      <w:numFmt w:val="bullet"/>
      <w:lvlText w:val=""/>
      <w:lvlJc w:val="left"/>
      <w:pPr>
        <w:ind w:left="733" w:hanging="286"/>
      </w:pPr>
      <w:rPr>
        <w:rFonts w:ascii="Wingdings" w:eastAsia="Wingdings" w:hAnsi="Wingdings" w:cs="Wingdings" w:hint="default"/>
        <w:color w:val="CA6627"/>
        <w:w w:val="100"/>
        <w:sz w:val="22"/>
        <w:szCs w:val="22"/>
      </w:rPr>
    </w:lvl>
    <w:lvl w:ilvl="1" w:tplc="09E4BA8A">
      <w:numFmt w:val="bullet"/>
      <w:lvlText w:val="•"/>
      <w:lvlJc w:val="left"/>
      <w:pPr>
        <w:ind w:left="1799" w:hanging="286"/>
      </w:pPr>
      <w:rPr>
        <w:rFonts w:hint="default"/>
      </w:rPr>
    </w:lvl>
    <w:lvl w:ilvl="2" w:tplc="C3400A5C">
      <w:numFmt w:val="bullet"/>
      <w:lvlText w:val="•"/>
      <w:lvlJc w:val="left"/>
      <w:pPr>
        <w:ind w:left="2859" w:hanging="286"/>
      </w:pPr>
      <w:rPr>
        <w:rFonts w:hint="default"/>
      </w:rPr>
    </w:lvl>
    <w:lvl w:ilvl="3" w:tplc="B15817A6">
      <w:numFmt w:val="bullet"/>
      <w:lvlText w:val="•"/>
      <w:lvlJc w:val="left"/>
      <w:pPr>
        <w:ind w:left="3919" w:hanging="286"/>
      </w:pPr>
      <w:rPr>
        <w:rFonts w:hint="default"/>
      </w:rPr>
    </w:lvl>
    <w:lvl w:ilvl="4" w:tplc="A7DADCCA">
      <w:numFmt w:val="bullet"/>
      <w:lvlText w:val="•"/>
      <w:lvlJc w:val="left"/>
      <w:pPr>
        <w:ind w:left="4979" w:hanging="286"/>
      </w:pPr>
      <w:rPr>
        <w:rFonts w:hint="default"/>
      </w:rPr>
    </w:lvl>
    <w:lvl w:ilvl="5" w:tplc="E182F96A">
      <w:numFmt w:val="bullet"/>
      <w:lvlText w:val="•"/>
      <w:lvlJc w:val="left"/>
      <w:pPr>
        <w:ind w:left="6039" w:hanging="286"/>
      </w:pPr>
      <w:rPr>
        <w:rFonts w:hint="default"/>
      </w:rPr>
    </w:lvl>
    <w:lvl w:ilvl="6" w:tplc="E6DC18E8">
      <w:numFmt w:val="bullet"/>
      <w:lvlText w:val="•"/>
      <w:lvlJc w:val="left"/>
      <w:pPr>
        <w:ind w:left="7099" w:hanging="286"/>
      </w:pPr>
      <w:rPr>
        <w:rFonts w:hint="default"/>
      </w:rPr>
    </w:lvl>
    <w:lvl w:ilvl="7" w:tplc="EC286042">
      <w:numFmt w:val="bullet"/>
      <w:lvlText w:val="•"/>
      <w:lvlJc w:val="left"/>
      <w:pPr>
        <w:ind w:left="8159" w:hanging="286"/>
      </w:pPr>
      <w:rPr>
        <w:rFonts w:hint="default"/>
      </w:rPr>
    </w:lvl>
    <w:lvl w:ilvl="8" w:tplc="62E68994">
      <w:numFmt w:val="bullet"/>
      <w:lvlText w:val="•"/>
      <w:lvlJc w:val="left"/>
      <w:pPr>
        <w:ind w:left="9219" w:hanging="286"/>
      </w:pPr>
      <w:rPr>
        <w:rFonts w:hint="default"/>
      </w:rPr>
    </w:lvl>
  </w:abstractNum>
  <w:abstractNum w:abstractNumId="10" w15:restartNumberingAfterBreak="0">
    <w:nsid w:val="591704B0"/>
    <w:multiLevelType w:val="multilevel"/>
    <w:tmpl w:val="FEEEAF9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
      <w:lvlJc w:val="left"/>
      <w:pPr>
        <w:tabs>
          <w:tab w:val="num" w:pos="851"/>
        </w:tabs>
        <w:ind w:left="851" w:hanging="284"/>
      </w:pPr>
      <w:rPr>
        <w:rFonts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1"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num w:numId="1" w16cid:durableId="659234740">
    <w:abstractNumId w:val="7"/>
  </w:num>
  <w:num w:numId="2" w16cid:durableId="1344631177">
    <w:abstractNumId w:val="4"/>
  </w:num>
  <w:num w:numId="3" w16cid:durableId="4791466">
    <w:abstractNumId w:val="11"/>
  </w:num>
  <w:num w:numId="4" w16cid:durableId="1144350473">
    <w:abstractNumId w:val="8"/>
  </w:num>
  <w:num w:numId="5" w16cid:durableId="1321272027">
    <w:abstractNumId w:val="11"/>
  </w:num>
  <w:num w:numId="6" w16cid:durableId="1977443321">
    <w:abstractNumId w:val="5"/>
  </w:num>
  <w:num w:numId="7" w16cid:durableId="1709644962">
    <w:abstractNumId w:val="1"/>
  </w:num>
  <w:num w:numId="8" w16cid:durableId="1663966937">
    <w:abstractNumId w:val="11"/>
  </w:num>
  <w:num w:numId="9" w16cid:durableId="665013031">
    <w:abstractNumId w:val="11"/>
  </w:num>
  <w:num w:numId="10" w16cid:durableId="264583155">
    <w:abstractNumId w:val="3"/>
  </w:num>
  <w:num w:numId="11" w16cid:durableId="1753576654">
    <w:abstractNumId w:val="11"/>
  </w:num>
  <w:num w:numId="12" w16cid:durableId="669528195">
    <w:abstractNumId w:val="11"/>
  </w:num>
  <w:num w:numId="13" w16cid:durableId="1897080672">
    <w:abstractNumId w:val="11"/>
  </w:num>
  <w:num w:numId="14" w16cid:durableId="1529761509">
    <w:abstractNumId w:val="0"/>
  </w:num>
  <w:num w:numId="15" w16cid:durableId="788470511">
    <w:abstractNumId w:val="11"/>
  </w:num>
  <w:num w:numId="16" w16cid:durableId="691348313">
    <w:abstractNumId w:val="2"/>
  </w:num>
  <w:num w:numId="17" w16cid:durableId="905258179">
    <w:abstractNumId w:val="10"/>
  </w:num>
  <w:num w:numId="18" w16cid:durableId="949774781">
    <w:abstractNumId w:val="11"/>
  </w:num>
  <w:num w:numId="19" w16cid:durableId="1330215058">
    <w:abstractNumId w:val="11"/>
  </w:num>
  <w:num w:numId="20" w16cid:durableId="1881014466">
    <w:abstractNumId w:val="11"/>
  </w:num>
  <w:num w:numId="21" w16cid:durableId="2089378744">
    <w:abstractNumId w:val="6"/>
  </w:num>
  <w:num w:numId="22" w16cid:durableId="60981759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003A5"/>
    <w:rsid w:val="0001000C"/>
    <w:rsid w:val="00031AAE"/>
    <w:rsid w:val="00042A74"/>
    <w:rsid w:val="000574A1"/>
    <w:rsid w:val="00075D9A"/>
    <w:rsid w:val="000D6BA4"/>
    <w:rsid w:val="000F3211"/>
    <w:rsid w:val="000F63B2"/>
    <w:rsid w:val="000F6A5C"/>
    <w:rsid w:val="001569E8"/>
    <w:rsid w:val="00157A2E"/>
    <w:rsid w:val="00163B7E"/>
    <w:rsid w:val="001644F5"/>
    <w:rsid w:val="001A0C14"/>
    <w:rsid w:val="001B62E9"/>
    <w:rsid w:val="001D0072"/>
    <w:rsid w:val="0021633D"/>
    <w:rsid w:val="00251A03"/>
    <w:rsid w:val="002714BA"/>
    <w:rsid w:val="00285FD5"/>
    <w:rsid w:val="002861DB"/>
    <w:rsid w:val="002A1F57"/>
    <w:rsid w:val="002B72D2"/>
    <w:rsid w:val="002D7CED"/>
    <w:rsid w:val="002F21D6"/>
    <w:rsid w:val="002F3330"/>
    <w:rsid w:val="00302861"/>
    <w:rsid w:val="00312247"/>
    <w:rsid w:val="0032034E"/>
    <w:rsid w:val="0032360D"/>
    <w:rsid w:val="00326004"/>
    <w:rsid w:val="00345254"/>
    <w:rsid w:val="00345810"/>
    <w:rsid w:val="003608D3"/>
    <w:rsid w:val="003971B7"/>
    <w:rsid w:val="003C4599"/>
    <w:rsid w:val="003C4CDA"/>
    <w:rsid w:val="003C5D0C"/>
    <w:rsid w:val="003D2E0C"/>
    <w:rsid w:val="00443FAB"/>
    <w:rsid w:val="004610F6"/>
    <w:rsid w:val="004C0FA7"/>
    <w:rsid w:val="00523BBF"/>
    <w:rsid w:val="00533C4F"/>
    <w:rsid w:val="00586E6D"/>
    <w:rsid w:val="00595296"/>
    <w:rsid w:val="005A5FBA"/>
    <w:rsid w:val="005A61E0"/>
    <w:rsid w:val="005B334D"/>
    <w:rsid w:val="005F112C"/>
    <w:rsid w:val="0062451D"/>
    <w:rsid w:val="0063694C"/>
    <w:rsid w:val="00645E9E"/>
    <w:rsid w:val="006527D8"/>
    <w:rsid w:val="006669A9"/>
    <w:rsid w:val="00674453"/>
    <w:rsid w:val="00692336"/>
    <w:rsid w:val="006A4094"/>
    <w:rsid w:val="006A7802"/>
    <w:rsid w:val="006C5DE0"/>
    <w:rsid w:val="006D3FC8"/>
    <w:rsid w:val="006E3F40"/>
    <w:rsid w:val="007572D7"/>
    <w:rsid w:val="0077334C"/>
    <w:rsid w:val="00786F26"/>
    <w:rsid w:val="007B34EA"/>
    <w:rsid w:val="007C3D85"/>
    <w:rsid w:val="007F0953"/>
    <w:rsid w:val="00812D3F"/>
    <w:rsid w:val="00823F13"/>
    <w:rsid w:val="008340BB"/>
    <w:rsid w:val="00842A11"/>
    <w:rsid w:val="00890BB6"/>
    <w:rsid w:val="008A4324"/>
    <w:rsid w:val="008C6E0F"/>
    <w:rsid w:val="0092123C"/>
    <w:rsid w:val="00937919"/>
    <w:rsid w:val="009426DE"/>
    <w:rsid w:val="009615DF"/>
    <w:rsid w:val="009721A3"/>
    <w:rsid w:val="0098581D"/>
    <w:rsid w:val="009B4406"/>
    <w:rsid w:val="009D558B"/>
    <w:rsid w:val="009D5AC5"/>
    <w:rsid w:val="009D5BFC"/>
    <w:rsid w:val="00A0152C"/>
    <w:rsid w:val="00A11F37"/>
    <w:rsid w:val="00A164E0"/>
    <w:rsid w:val="00A16680"/>
    <w:rsid w:val="00A25C9D"/>
    <w:rsid w:val="00A42416"/>
    <w:rsid w:val="00A87228"/>
    <w:rsid w:val="00AA5A10"/>
    <w:rsid w:val="00AB06AB"/>
    <w:rsid w:val="00AE0AE2"/>
    <w:rsid w:val="00B06088"/>
    <w:rsid w:val="00B4262B"/>
    <w:rsid w:val="00B51DDB"/>
    <w:rsid w:val="00B579D1"/>
    <w:rsid w:val="00B6407D"/>
    <w:rsid w:val="00BA2DE1"/>
    <w:rsid w:val="00BA54F4"/>
    <w:rsid w:val="00BD61D7"/>
    <w:rsid w:val="00CA0547"/>
    <w:rsid w:val="00CA4EC6"/>
    <w:rsid w:val="00CB236F"/>
    <w:rsid w:val="00CB37DE"/>
    <w:rsid w:val="00CB401B"/>
    <w:rsid w:val="00CD225A"/>
    <w:rsid w:val="00CE38C1"/>
    <w:rsid w:val="00D103E8"/>
    <w:rsid w:val="00D26DCC"/>
    <w:rsid w:val="00D41140"/>
    <w:rsid w:val="00D46324"/>
    <w:rsid w:val="00D54125"/>
    <w:rsid w:val="00D55EE0"/>
    <w:rsid w:val="00D61904"/>
    <w:rsid w:val="00D64A79"/>
    <w:rsid w:val="00D71C63"/>
    <w:rsid w:val="00D74669"/>
    <w:rsid w:val="00D8070F"/>
    <w:rsid w:val="00DC35C1"/>
    <w:rsid w:val="00DC6093"/>
    <w:rsid w:val="00DD1572"/>
    <w:rsid w:val="00E00B42"/>
    <w:rsid w:val="00E223CC"/>
    <w:rsid w:val="00E46278"/>
    <w:rsid w:val="00E63A13"/>
    <w:rsid w:val="00E83D75"/>
    <w:rsid w:val="00EB3B8A"/>
    <w:rsid w:val="00EE6988"/>
    <w:rsid w:val="00F0360F"/>
    <w:rsid w:val="00F0504C"/>
    <w:rsid w:val="00F86D6C"/>
    <w:rsid w:val="00F87D6D"/>
    <w:rsid w:val="00FA58FA"/>
    <w:rsid w:val="00FD4CF0"/>
    <w:rsid w:val="00FE10ED"/>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F464C5"/>
  <w14:defaultImageDpi w14:val="32767"/>
  <w15:docId w15:val="{DEF04F26-036A-4227-B718-838CA3BD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1"/>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A74"/>
    <w:pPr>
      <w:autoSpaceDE w:val="0"/>
      <w:autoSpaceDN w:val="0"/>
      <w:adjustRightInd w:val="0"/>
    </w:pPr>
    <w:rPr>
      <w:rFonts w:ascii="Arial" w:hAnsi="Arial" w:cs="Arial"/>
      <w:color w:val="000000"/>
      <w:lang w:val="en-AU"/>
    </w:rPr>
  </w:style>
  <w:style w:type="paragraph" w:customStyle="1" w:styleId="TableParagraph">
    <w:name w:val="Table Paragraph"/>
    <w:basedOn w:val="Normal"/>
    <w:uiPriority w:val="1"/>
    <w:qFormat/>
    <w:rsid w:val="0063694C"/>
    <w:pPr>
      <w:widowControl w:val="0"/>
      <w:autoSpaceDE w:val="0"/>
      <w:autoSpaceDN w:val="0"/>
      <w:spacing w:after="0"/>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1453">
      <w:bodyDiv w:val="1"/>
      <w:marLeft w:val="0"/>
      <w:marRight w:val="0"/>
      <w:marTop w:val="0"/>
      <w:marBottom w:val="0"/>
      <w:divBdr>
        <w:top w:val="none" w:sz="0" w:space="0" w:color="auto"/>
        <w:left w:val="none" w:sz="0" w:space="0" w:color="auto"/>
        <w:bottom w:val="none" w:sz="0" w:space="0" w:color="auto"/>
        <w:right w:val="none" w:sz="0" w:space="0" w:color="auto"/>
      </w:divBdr>
    </w:div>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572281072">
      <w:bodyDiv w:val="1"/>
      <w:marLeft w:val="0"/>
      <w:marRight w:val="0"/>
      <w:marTop w:val="0"/>
      <w:marBottom w:val="0"/>
      <w:divBdr>
        <w:top w:val="none" w:sz="0" w:space="0" w:color="auto"/>
        <w:left w:val="none" w:sz="0" w:space="0" w:color="auto"/>
        <w:bottom w:val="none" w:sz="0" w:space="0" w:color="auto"/>
        <w:right w:val="none" w:sz="0" w:space="0" w:color="auto"/>
      </w:divBdr>
    </w:div>
    <w:div w:id="701053024">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heps.health.qld.gov.au/__data/assets/pdf_file/0040/2669287/NWHHS-Clinical-Governance-Framework-2021-v5.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qld.gov.au/library/document/policy/lobbyist-disclosure-policy.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heps.health.qld.gov.au/northwest/clinical-support/quality/accreditation-qualit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2F98B9-401B-4FC8-ABB0-C1F1C121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Rowbottom</dc:creator>
  <cp:lastModifiedBy>Clare Billett</cp:lastModifiedBy>
  <cp:revision>3</cp:revision>
  <dcterms:created xsi:type="dcterms:W3CDTF">2024-04-26T05:01:00Z</dcterms:created>
  <dcterms:modified xsi:type="dcterms:W3CDTF">2024-04-26T05:29:00Z</dcterms:modified>
</cp:coreProperties>
</file>