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3FD88FB3" w:rsidR="00A7453C" w:rsidRDefault="007B3338" w:rsidP="00600593">
      <w:pPr>
        <w:pStyle w:val="Heading1"/>
        <w:spacing w:before="240"/>
        <w:rPr>
          <w:color w:val="003591" w:themeColor="text2"/>
          <w:sz w:val="36"/>
          <w:szCs w:val="36"/>
          <w:lang w:val="en-AU"/>
        </w:rPr>
      </w:pPr>
      <w:r>
        <w:rPr>
          <w:color w:val="003591" w:themeColor="text2"/>
          <w:sz w:val="36"/>
          <w:szCs w:val="36"/>
          <w:lang w:val="en-AU"/>
        </w:rPr>
        <w:t>Senior Medical Officer</w:t>
      </w:r>
      <w:r w:rsidR="005811D1">
        <w:rPr>
          <w:color w:val="003591" w:themeColor="text2"/>
          <w:sz w:val="36"/>
          <w:szCs w:val="36"/>
          <w:lang w:val="en-AU"/>
        </w:rPr>
        <w:t xml:space="preserve"> </w:t>
      </w:r>
    </w:p>
    <w:tbl>
      <w:tblPr>
        <w:tblStyle w:val="TableGrid"/>
        <w:tblW w:w="10485" w:type="dxa"/>
        <w:tblInd w:w="5" w:type="dxa"/>
        <w:tblLook w:val="04A0" w:firstRow="1" w:lastRow="0" w:firstColumn="1" w:lastColumn="0" w:noHBand="0" w:noVBand="1"/>
      </w:tblPr>
      <w:tblGrid>
        <w:gridCol w:w="1696"/>
        <w:gridCol w:w="3544"/>
        <w:gridCol w:w="1844"/>
        <w:gridCol w:w="3401"/>
      </w:tblGrid>
      <w:tr w:rsidR="009E2F07" w14:paraId="03A73D40" w14:textId="77777777" w:rsidTr="00AE4ED4">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544" w:type="dxa"/>
          </w:tcPr>
          <w:p w14:paraId="764CACC2" w14:textId="1380863C" w:rsidR="009E2F07" w:rsidRPr="009E2F07" w:rsidRDefault="007B3338" w:rsidP="00D04923">
            <w:pPr>
              <w:pStyle w:val="BodyText"/>
              <w:spacing w:line="240" w:lineRule="auto"/>
              <w:ind w:right="144"/>
              <w:rPr>
                <w:color w:val="auto"/>
                <w:lang w:val="en-US"/>
              </w:rPr>
            </w:pPr>
            <w:r>
              <w:rPr>
                <w:color w:val="auto"/>
              </w:rPr>
              <w:t>TV</w:t>
            </w:r>
            <w:r w:rsidR="00AE4ED4">
              <w:rPr>
                <w:color w:val="auto"/>
              </w:rPr>
              <w:t>569724</w:t>
            </w:r>
          </w:p>
        </w:tc>
        <w:tc>
          <w:tcPr>
            <w:tcW w:w="1844"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4C5C70DB" w:rsidR="009E2F07" w:rsidRPr="009E2F07" w:rsidRDefault="007B3338" w:rsidP="00D04923">
            <w:pPr>
              <w:pStyle w:val="BodyText"/>
              <w:spacing w:line="240" w:lineRule="auto"/>
              <w:rPr>
                <w:color w:val="auto"/>
              </w:rPr>
            </w:pPr>
            <w:r>
              <w:rPr>
                <w:color w:val="auto"/>
              </w:rPr>
              <w:t>30486574</w:t>
            </w:r>
          </w:p>
        </w:tc>
      </w:tr>
      <w:tr w:rsidR="009E2F07" w14:paraId="415DA31F" w14:textId="77777777" w:rsidTr="00AE4ED4">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544" w:type="dxa"/>
          </w:tcPr>
          <w:p w14:paraId="18F4AAFF" w14:textId="4F485157" w:rsidR="009E2F07" w:rsidRPr="009E2F07" w:rsidRDefault="007B3338" w:rsidP="00D04923">
            <w:pPr>
              <w:pStyle w:val="BodyText"/>
              <w:spacing w:line="240" w:lineRule="auto"/>
              <w:ind w:right="144"/>
              <w:rPr>
                <w:color w:val="auto"/>
                <w:lang w:val="en-US"/>
              </w:rPr>
            </w:pPr>
            <w:r>
              <w:rPr>
                <w:color w:val="auto"/>
              </w:rPr>
              <w:t>Senior Medical Officer</w:t>
            </w:r>
            <w:r w:rsidR="00F37992">
              <w:rPr>
                <w:color w:val="auto"/>
              </w:rPr>
              <w:t xml:space="preserve"> (Rural Generalist)</w:t>
            </w:r>
          </w:p>
        </w:tc>
        <w:tc>
          <w:tcPr>
            <w:tcW w:w="1844"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04E3C724" w:rsidR="009E2F07" w:rsidRPr="009E2F07" w:rsidRDefault="007B3338" w:rsidP="00D04923">
            <w:pPr>
              <w:pStyle w:val="BodyText"/>
              <w:spacing w:line="240" w:lineRule="auto"/>
              <w:rPr>
                <w:color w:val="auto"/>
                <w:lang w:val="en-US"/>
              </w:rPr>
            </w:pPr>
            <w:r>
              <w:rPr>
                <w:color w:val="auto"/>
              </w:rPr>
              <w:t>L13</w:t>
            </w:r>
            <w:r w:rsidR="00AE4ED4">
              <w:rPr>
                <w:color w:val="auto"/>
              </w:rPr>
              <w:t xml:space="preserve"> – </w:t>
            </w:r>
            <w:r>
              <w:rPr>
                <w:color w:val="auto"/>
              </w:rPr>
              <w:t>L27</w:t>
            </w:r>
          </w:p>
        </w:tc>
      </w:tr>
      <w:tr w:rsidR="009E2F07" w14:paraId="3F43B878" w14:textId="77777777" w:rsidTr="00AE4ED4">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544" w:type="dxa"/>
          </w:tcPr>
          <w:p w14:paraId="76DFAB13" w14:textId="77777777" w:rsidR="00705C91" w:rsidRDefault="00705C91" w:rsidP="00D04923">
            <w:pPr>
              <w:pStyle w:val="BodyText"/>
              <w:spacing w:line="240" w:lineRule="auto"/>
              <w:ind w:right="144"/>
              <w:rPr>
                <w:color w:val="auto"/>
              </w:rPr>
            </w:pPr>
            <w:r w:rsidRPr="00705C91">
              <w:rPr>
                <w:color w:val="auto"/>
              </w:rPr>
              <w:t xml:space="preserve">Permanent Full-time or Part-time, hours negotiable </w:t>
            </w:r>
          </w:p>
          <w:p w14:paraId="186A08E8" w14:textId="67385347" w:rsidR="009E2F07" w:rsidRPr="009E2F07" w:rsidRDefault="00705C91" w:rsidP="00D04923">
            <w:pPr>
              <w:pStyle w:val="BodyText"/>
              <w:spacing w:line="240" w:lineRule="auto"/>
              <w:ind w:right="144"/>
              <w:rPr>
                <w:color w:val="auto"/>
                <w:lang w:val="en-US"/>
              </w:rPr>
            </w:pPr>
            <w:r w:rsidRPr="00705C91">
              <w:rPr>
                <w:color w:val="auto"/>
              </w:rPr>
              <w:t>+ Fixed Term Temporary Full-time or Part-time up to two (2) years, hours negotiable</w:t>
            </w:r>
          </w:p>
        </w:tc>
        <w:tc>
          <w:tcPr>
            <w:tcW w:w="1844" w:type="dxa"/>
          </w:tcPr>
          <w:p w14:paraId="36E47004" w14:textId="2E2D6243" w:rsidR="009E2F07" w:rsidRPr="00026DE9" w:rsidRDefault="00705C91" w:rsidP="00D04923">
            <w:pPr>
              <w:pStyle w:val="BodyText"/>
              <w:spacing w:line="240" w:lineRule="auto"/>
              <w:rPr>
                <w:b/>
                <w:color w:val="003591" w:themeColor="text2"/>
                <w:lang w:val="en-US"/>
              </w:rPr>
            </w:pPr>
            <w:r>
              <w:rPr>
                <w:b/>
                <w:color w:val="003591" w:themeColor="text2"/>
                <w:lang w:val="en-US"/>
              </w:rPr>
              <w:t xml:space="preserve">Base </w:t>
            </w:r>
            <w:r w:rsidR="009E2F07" w:rsidRPr="00026DE9">
              <w:rPr>
                <w:b/>
                <w:color w:val="003591" w:themeColor="text2"/>
                <w:lang w:val="en-US"/>
              </w:rPr>
              <w:t>Salary:</w:t>
            </w:r>
          </w:p>
        </w:tc>
        <w:tc>
          <w:tcPr>
            <w:tcW w:w="3401" w:type="dxa"/>
          </w:tcPr>
          <w:p w14:paraId="536E2F3C" w14:textId="1FDEE9C9" w:rsidR="009E2F07" w:rsidRDefault="00705C91" w:rsidP="00705C91">
            <w:pPr>
              <w:pStyle w:val="BodyText"/>
              <w:spacing w:line="240" w:lineRule="auto"/>
              <w:rPr>
                <w:color w:val="auto"/>
              </w:rPr>
            </w:pPr>
            <w:r>
              <w:rPr>
                <w:color w:val="auto"/>
              </w:rPr>
              <w:t>$</w:t>
            </w:r>
            <w:r w:rsidRPr="00705C91">
              <w:rPr>
                <w:color w:val="auto"/>
              </w:rPr>
              <w:t>6776.80</w:t>
            </w:r>
            <w:r w:rsidR="005811D1">
              <w:rPr>
                <w:color w:val="auto"/>
              </w:rPr>
              <w:t xml:space="preserve"> </w:t>
            </w:r>
            <w:r>
              <w:rPr>
                <w:color w:val="auto"/>
              </w:rPr>
              <w:t>- $</w:t>
            </w:r>
            <w:r w:rsidRPr="00705C91">
              <w:rPr>
                <w:color w:val="auto"/>
              </w:rPr>
              <w:t>9924.00</w:t>
            </w:r>
            <w:r>
              <w:rPr>
                <w:color w:val="auto"/>
              </w:rPr>
              <w:br/>
            </w:r>
            <w:r w:rsidR="007405A4" w:rsidRPr="007405A4">
              <w:rPr>
                <w:color w:val="auto"/>
              </w:rPr>
              <w:t>per fortnight</w:t>
            </w:r>
            <w:r>
              <w:rPr>
                <w:color w:val="auto"/>
              </w:rPr>
              <w:t xml:space="preserve"> (full-time)</w:t>
            </w:r>
          </w:p>
          <w:p w14:paraId="45BB8163" w14:textId="77777777" w:rsidR="00705C91" w:rsidRPr="00705C91" w:rsidRDefault="00705C91" w:rsidP="00705C91">
            <w:pPr>
              <w:pStyle w:val="BodyText"/>
              <w:spacing w:line="240" w:lineRule="auto"/>
              <w:rPr>
                <w:color w:val="auto"/>
                <w:sz w:val="2"/>
                <w:szCs w:val="2"/>
              </w:rPr>
            </w:pPr>
          </w:p>
          <w:p w14:paraId="74AA2B15" w14:textId="1DA122D4" w:rsidR="00705C91" w:rsidRPr="009E2F07" w:rsidRDefault="00705C91" w:rsidP="00705C91">
            <w:pPr>
              <w:pStyle w:val="BodyText"/>
              <w:spacing w:line="240" w:lineRule="auto"/>
              <w:rPr>
                <w:color w:val="auto"/>
                <w:lang w:val="en-US"/>
              </w:rPr>
            </w:pPr>
            <w:r w:rsidRPr="00705C91">
              <w:rPr>
                <w:color w:val="auto"/>
                <w:lang w:val="en-US"/>
              </w:rPr>
              <w:t>$84.71 - $124.05</w:t>
            </w:r>
            <w:r>
              <w:rPr>
                <w:color w:val="auto"/>
                <w:lang w:val="en-US"/>
              </w:rPr>
              <w:br/>
              <w:t>per hour (part-time)</w:t>
            </w:r>
          </w:p>
        </w:tc>
      </w:tr>
      <w:tr w:rsidR="007405A4" w14:paraId="12BD4723" w14:textId="77777777" w:rsidTr="00AE4ED4">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544" w:type="dxa"/>
            <w:vMerge w:val="restart"/>
          </w:tcPr>
          <w:p w14:paraId="7AE9D8E4" w14:textId="512A9037" w:rsidR="007405A4" w:rsidRPr="009E2F07" w:rsidRDefault="007B3338" w:rsidP="00D04923">
            <w:pPr>
              <w:pStyle w:val="BodyText"/>
              <w:spacing w:line="240" w:lineRule="auto"/>
              <w:ind w:right="144"/>
              <w:rPr>
                <w:color w:val="auto"/>
              </w:rPr>
            </w:pPr>
            <w:r>
              <w:rPr>
                <w:color w:val="auto"/>
              </w:rPr>
              <w:t>Charters Towers Health Service</w:t>
            </w:r>
          </w:p>
          <w:p w14:paraId="78329E15" w14:textId="076CADD1" w:rsidR="007405A4" w:rsidRPr="009E2F07" w:rsidRDefault="007B3338" w:rsidP="00D04923">
            <w:pPr>
              <w:pStyle w:val="BodyText"/>
              <w:spacing w:line="240" w:lineRule="auto"/>
              <w:ind w:right="144"/>
              <w:rPr>
                <w:color w:val="auto"/>
              </w:rPr>
            </w:pPr>
            <w:r>
              <w:rPr>
                <w:color w:val="auto"/>
              </w:rPr>
              <w:t>Rural Hospitals Service Group</w:t>
            </w:r>
          </w:p>
        </w:tc>
        <w:tc>
          <w:tcPr>
            <w:tcW w:w="1844"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2D7DCF01" w:rsidR="007405A4" w:rsidRPr="00C82A52" w:rsidRDefault="00AE4ED4" w:rsidP="00D04923">
            <w:pPr>
              <w:spacing w:before="120" w:after="120"/>
              <w:rPr>
                <w:szCs w:val="20"/>
              </w:rPr>
            </w:pPr>
            <w:r>
              <w:t xml:space="preserve">Kiran </w:t>
            </w:r>
            <w:proofErr w:type="spellStart"/>
            <w:r>
              <w:t>Pujar</w:t>
            </w:r>
            <w:proofErr w:type="spellEnd"/>
            <w:r>
              <w:t xml:space="preserve"> </w:t>
            </w:r>
          </w:p>
        </w:tc>
      </w:tr>
      <w:tr w:rsidR="007405A4" w14:paraId="66DD5732" w14:textId="77777777" w:rsidTr="00AE4ED4">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544" w:type="dxa"/>
            <w:vMerge/>
          </w:tcPr>
          <w:p w14:paraId="0AF6AB29" w14:textId="77777777" w:rsidR="007405A4" w:rsidRPr="009E2F07" w:rsidRDefault="007405A4" w:rsidP="00D04923">
            <w:pPr>
              <w:pStyle w:val="BodyText"/>
              <w:spacing w:line="240" w:lineRule="auto"/>
              <w:ind w:right="144"/>
              <w:rPr>
                <w:color w:val="auto"/>
              </w:rPr>
            </w:pPr>
          </w:p>
        </w:tc>
        <w:tc>
          <w:tcPr>
            <w:tcW w:w="1844"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29774018" w:rsidR="007405A4" w:rsidRPr="00C82A52" w:rsidRDefault="007405A4" w:rsidP="00D04923">
            <w:pPr>
              <w:spacing w:before="120" w:after="120"/>
              <w:rPr>
                <w:szCs w:val="20"/>
              </w:rPr>
            </w:pPr>
            <w:r>
              <w:rPr>
                <w:szCs w:val="20"/>
              </w:rPr>
              <w:t>07 4</w:t>
            </w:r>
            <w:r w:rsidR="00AE4ED4">
              <w:rPr>
                <w:szCs w:val="20"/>
              </w:rPr>
              <w:t>787 0333</w:t>
            </w:r>
          </w:p>
        </w:tc>
      </w:tr>
      <w:tr w:rsidR="009E2F07" w14:paraId="02A2AEEB" w14:textId="77777777" w:rsidTr="00AE4ED4">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544" w:type="dxa"/>
          </w:tcPr>
          <w:p w14:paraId="11C7F269" w14:textId="0394DF45" w:rsidR="009E2F07" w:rsidRPr="009E2F07" w:rsidRDefault="007B3338" w:rsidP="00D04923">
            <w:pPr>
              <w:pStyle w:val="BodyText"/>
              <w:spacing w:line="240" w:lineRule="auto"/>
              <w:ind w:right="144"/>
              <w:rPr>
                <w:color w:val="auto"/>
                <w:lang w:val="en-US"/>
              </w:rPr>
            </w:pPr>
            <w:r>
              <w:rPr>
                <w:color w:val="auto"/>
              </w:rPr>
              <w:t>Charters Towers</w:t>
            </w:r>
          </w:p>
        </w:tc>
        <w:tc>
          <w:tcPr>
            <w:tcW w:w="1844"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61F75E68" w:rsidR="00CC6337" w:rsidRPr="009E2F07" w:rsidRDefault="00AE4ED4" w:rsidP="00410948">
            <w:pPr>
              <w:pStyle w:val="BodyText"/>
              <w:spacing w:line="240" w:lineRule="auto"/>
              <w:rPr>
                <w:color w:val="auto"/>
                <w:lang w:val="en-US"/>
              </w:rPr>
            </w:pPr>
            <w:r>
              <w:rPr>
                <w:color w:val="auto"/>
              </w:rPr>
              <w:t xml:space="preserve">Wednesday, 1 July 2024 </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2D7D5A0F" w14:textId="77777777" w:rsidR="007B3338" w:rsidRDefault="007B3338" w:rsidP="007B3338">
      <w:pPr>
        <w:overflowPunct w:val="0"/>
        <w:autoSpaceDE w:val="0"/>
        <w:autoSpaceDN w:val="0"/>
        <w:adjustRightInd w:val="0"/>
        <w:spacing w:before="20"/>
        <w:ind w:right="824"/>
        <w:jc w:val="both"/>
        <w:textAlignment w:val="baseline"/>
        <w:rPr>
          <w:rFonts w:cs="Arial"/>
          <w:color w:val="000000"/>
          <w:szCs w:val="20"/>
        </w:rPr>
      </w:pPr>
      <w:r>
        <w:rPr>
          <w:rFonts w:cs="Arial"/>
          <w:color w:val="000000"/>
          <w:szCs w:val="20"/>
        </w:rPr>
        <w:t xml:space="preserve">Charters Towers is located on the Flinders Highway, 136 kilometres west of Townsville, on the country of </w:t>
      </w:r>
      <w:r w:rsidRPr="00DB4E9A">
        <w:rPr>
          <w:rFonts w:cs="Arial"/>
          <w:color w:val="000000"/>
          <w:szCs w:val="20"/>
        </w:rPr>
        <w:t>the Gudjal people</w:t>
      </w:r>
      <w:r>
        <w:rPr>
          <w:rFonts w:cs="Arial"/>
          <w:color w:val="000000"/>
          <w:szCs w:val="20"/>
        </w:rPr>
        <w:t xml:space="preserve">. The geography is volcanic basalt mountains separating black soil plains. Aside from camping opportunities, the nearby Burdekin River provides the town with water. </w:t>
      </w:r>
      <w:r w:rsidRPr="00DB4E9A">
        <w:rPr>
          <w:rFonts w:cs="Arial"/>
          <w:color w:val="000000"/>
          <w:szCs w:val="20"/>
        </w:rPr>
        <w:t xml:space="preserve">Charters Towers </w:t>
      </w:r>
      <w:r>
        <w:rPr>
          <w:rFonts w:cs="Arial"/>
          <w:color w:val="000000"/>
          <w:szCs w:val="20"/>
        </w:rPr>
        <w:t xml:space="preserve">Shire population is approximately 12,000 and the township </w:t>
      </w:r>
      <w:r w:rsidRPr="00DB4E9A">
        <w:rPr>
          <w:rFonts w:cs="Arial"/>
          <w:color w:val="000000"/>
          <w:szCs w:val="20"/>
        </w:rPr>
        <w:t>is a regional centre for mining, beef and education, specifically boarding schools catering for remote rural families.</w:t>
      </w:r>
    </w:p>
    <w:p w14:paraId="3CF4B8C8" w14:textId="77777777" w:rsidR="007B3338" w:rsidRPr="007B3338" w:rsidRDefault="007B3338" w:rsidP="007B3338">
      <w:pPr>
        <w:overflowPunct w:val="0"/>
        <w:autoSpaceDE w:val="0"/>
        <w:autoSpaceDN w:val="0"/>
        <w:adjustRightInd w:val="0"/>
        <w:spacing w:before="20"/>
        <w:ind w:right="824"/>
        <w:jc w:val="both"/>
        <w:textAlignment w:val="baseline"/>
        <w:rPr>
          <w:rFonts w:cs="Arial"/>
          <w:color w:val="000000"/>
          <w:sz w:val="12"/>
          <w:szCs w:val="12"/>
        </w:rPr>
      </w:pPr>
    </w:p>
    <w:p w14:paraId="1361A780" w14:textId="77777777" w:rsidR="007B3338" w:rsidRDefault="007B3338" w:rsidP="007B3338">
      <w:pPr>
        <w:overflowPunct w:val="0"/>
        <w:autoSpaceDE w:val="0"/>
        <w:autoSpaceDN w:val="0"/>
        <w:adjustRightInd w:val="0"/>
        <w:spacing w:before="20"/>
        <w:ind w:right="824"/>
        <w:jc w:val="both"/>
        <w:textAlignment w:val="baseline"/>
        <w:rPr>
          <w:rFonts w:cs="Arial"/>
          <w:color w:val="000000"/>
          <w:szCs w:val="20"/>
        </w:rPr>
      </w:pPr>
      <w:r>
        <w:rPr>
          <w:rFonts w:cs="Arial"/>
          <w:color w:val="000000"/>
          <w:szCs w:val="20"/>
        </w:rPr>
        <w:t>The role Senior Medical Officer (SMO) involves provision of e</w:t>
      </w:r>
      <w:r w:rsidRPr="00342CA4">
        <w:rPr>
          <w:rFonts w:cs="Arial"/>
          <w:color w:val="000000"/>
          <w:szCs w:val="20"/>
        </w:rPr>
        <w:t>mergency and inpa</w:t>
      </w:r>
      <w:r>
        <w:rPr>
          <w:rFonts w:cs="Arial"/>
          <w:color w:val="000000"/>
          <w:szCs w:val="20"/>
        </w:rPr>
        <w:t>tient medical services for Charters Towers Hospital: in-patient (acute and long-stay), outpatient and emergency. Telehealth services reduce the need for patient travel. The local multi-disciplinary team is supplemented by visiting specialist medical, dental, nursing, and allied health services from Townsville Hospital and Health Service (THHS), Non-Government Organisations and Private Providers.</w:t>
      </w:r>
    </w:p>
    <w:p w14:paraId="2463A0FC" w14:textId="77777777" w:rsidR="007B3338" w:rsidRPr="007B3338" w:rsidRDefault="007B3338" w:rsidP="007B3338">
      <w:pPr>
        <w:overflowPunct w:val="0"/>
        <w:autoSpaceDE w:val="0"/>
        <w:autoSpaceDN w:val="0"/>
        <w:adjustRightInd w:val="0"/>
        <w:spacing w:before="20"/>
        <w:ind w:right="824"/>
        <w:jc w:val="both"/>
        <w:textAlignment w:val="baseline"/>
        <w:rPr>
          <w:rFonts w:cs="Arial"/>
          <w:color w:val="000000"/>
          <w:sz w:val="12"/>
          <w:szCs w:val="12"/>
        </w:rPr>
      </w:pPr>
    </w:p>
    <w:p w14:paraId="1D23A1F7" w14:textId="1178F869" w:rsidR="007B3338" w:rsidRDefault="007B3338" w:rsidP="007B3338">
      <w:pPr>
        <w:spacing w:before="20"/>
        <w:ind w:right="824"/>
        <w:rPr>
          <w:rFonts w:cs="Arial"/>
          <w:color w:val="000000"/>
        </w:rPr>
      </w:pPr>
      <w:r>
        <w:rPr>
          <w:rFonts w:cs="Arial"/>
          <w:color w:val="000000"/>
        </w:rPr>
        <w:t>Non-clinical duties</w:t>
      </w:r>
      <w:r w:rsidRPr="00D3362A">
        <w:rPr>
          <w:rFonts w:cs="Arial"/>
          <w:color w:val="000000"/>
        </w:rPr>
        <w:t xml:space="preserve"> include </w:t>
      </w:r>
      <w:r>
        <w:rPr>
          <w:rFonts w:cs="Arial"/>
          <w:color w:val="000000"/>
        </w:rPr>
        <w:t xml:space="preserve">quality activities, mandatory training, supervising, teaching and </w:t>
      </w:r>
      <w:r w:rsidRPr="00D3362A">
        <w:rPr>
          <w:rFonts w:cs="Arial"/>
          <w:color w:val="000000"/>
        </w:rPr>
        <w:t xml:space="preserve">research.  </w:t>
      </w:r>
      <w:r>
        <w:rPr>
          <w:rFonts w:cs="Arial"/>
          <w:color w:val="000000"/>
        </w:rPr>
        <w:t>The successful applicants will l</w:t>
      </w:r>
      <w:r w:rsidRPr="00D3362A">
        <w:rPr>
          <w:rFonts w:cs="Arial"/>
          <w:color w:val="000000"/>
        </w:rPr>
        <w:t>ead and manage the provision of medical services in accordance with the standard of the speciality, the ethics of the profession and in accordance with the THHS and Queensland Health (QH) policies</w:t>
      </w:r>
      <w:r>
        <w:rPr>
          <w:rFonts w:cs="Arial"/>
          <w:color w:val="000000"/>
        </w:rPr>
        <w:t xml:space="preserve">. </w:t>
      </w:r>
    </w:p>
    <w:p w14:paraId="79C78985" w14:textId="77777777" w:rsidR="007B3338" w:rsidRPr="00E33A47" w:rsidRDefault="007B3338" w:rsidP="007B3338">
      <w:pPr>
        <w:pStyle w:val="BodyText"/>
        <w:spacing w:before="240" w:line="240" w:lineRule="auto"/>
        <w:ind w:right="110"/>
        <w:rPr>
          <w:rFonts w:eastAsia="Times New Roman"/>
          <w:b/>
          <w:color w:val="003491"/>
          <w:sz w:val="24"/>
          <w:szCs w:val="24"/>
        </w:rPr>
      </w:pPr>
      <w:bookmarkStart w:id="2" w:name="_Hlk115173999"/>
      <w:r w:rsidRPr="00E33A47">
        <w:rPr>
          <w:rFonts w:eastAsia="Times New Roman"/>
          <w:b/>
          <w:color w:val="003491"/>
          <w:sz w:val="24"/>
          <w:szCs w:val="24"/>
        </w:rPr>
        <w:t>Remuneration Package</w:t>
      </w:r>
    </w:p>
    <w:p w14:paraId="76F39F49" w14:textId="10B153AE" w:rsidR="003113F6" w:rsidRDefault="007B3338" w:rsidP="007B3338">
      <w:pPr>
        <w:spacing w:before="120" w:after="120"/>
        <w:ind w:right="110"/>
      </w:pPr>
      <w:r w:rsidRPr="005E35A8">
        <w:rPr>
          <w:b/>
          <w:bCs/>
        </w:rPr>
        <w:t>The below information relates to the Approximate Remuneration Package</w:t>
      </w:r>
      <w:r w:rsidRPr="005E35A8">
        <w:t xml:space="preserve"> and additional benefits (full-time role) Medical Officers Certified Agreement (No.6) (MOCA6).</w:t>
      </w:r>
      <w:r w:rsidRPr="005E35A8">
        <w:br/>
        <w:t>Remuneration for part-time roles will be calculated on a pro rata basi</w:t>
      </w:r>
      <w:r w:rsidRPr="007C2A3C">
        <w:t xml:space="preserve">s. </w:t>
      </w:r>
    </w:p>
    <w:p w14:paraId="7DE40044" w14:textId="77777777" w:rsidR="003113F6" w:rsidRDefault="003113F6">
      <w:r>
        <w:br w:type="page"/>
      </w:r>
    </w:p>
    <w:tbl>
      <w:tblPr>
        <w:tblW w:w="10055" w:type="dxa"/>
        <w:tblInd w:w="5" w:type="dxa"/>
        <w:tblLayout w:type="fixed"/>
        <w:tblCellMar>
          <w:left w:w="0" w:type="dxa"/>
          <w:right w:w="0" w:type="dxa"/>
        </w:tblCellMar>
        <w:tblLook w:val="0000" w:firstRow="0" w:lastRow="0" w:firstColumn="0" w:lastColumn="0" w:noHBand="0" w:noVBand="0"/>
      </w:tblPr>
      <w:tblGrid>
        <w:gridCol w:w="5235"/>
        <w:gridCol w:w="2410"/>
        <w:gridCol w:w="2410"/>
      </w:tblGrid>
      <w:tr w:rsidR="007B3338" w:rsidRPr="00A5596C" w14:paraId="339B584A" w14:textId="77777777" w:rsidTr="0009624A">
        <w:trPr>
          <w:trHeight w:val="320"/>
        </w:trPr>
        <w:tc>
          <w:tcPr>
            <w:tcW w:w="5235" w:type="dxa"/>
            <w:vMerge w:val="restart"/>
            <w:tcBorders>
              <w:top w:val="single" w:sz="4" w:space="0" w:color="000000"/>
              <w:left w:val="single" w:sz="4" w:space="0" w:color="000000"/>
              <w:right w:val="single" w:sz="4" w:space="0" w:color="000000"/>
            </w:tcBorders>
            <w:shd w:val="clear" w:color="auto" w:fill="003591"/>
            <w:vAlign w:val="center"/>
          </w:tcPr>
          <w:p w14:paraId="7B32A9FA" w14:textId="2F371CB0" w:rsidR="007B3338" w:rsidRPr="00A5596C" w:rsidRDefault="007B3338" w:rsidP="0009624A">
            <w:pPr>
              <w:pStyle w:val="TableParagraph"/>
              <w:kinsoku w:val="0"/>
              <w:overflowPunct w:val="0"/>
              <w:spacing w:before="14" w:line="215" w:lineRule="exact"/>
              <w:ind w:left="142" w:right="110"/>
              <w:rPr>
                <w:b/>
                <w:bCs/>
                <w:color w:val="FFFFFF" w:themeColor="background1"/>
                <w:sz w:val="20"/>
                <w:szCs w:val="20"/>
                <w:highlight w:val="yellow"/>
              </w:rPr>
            </w:pPr>
            <w:bookmarkStart w:id="3" w:name="_Hlk115174064"/>
            <w:bookmarkStart w:id="4" w:name="_Hlk167173277"/>
            <w:bookmarkEnd w:id="2"/>
            <w:r w:rsidRPr="005E35A8">
              <w:rPr>
                <w:b/>
                <w:bCs/>
                <w:color w:val="FFFFFF" w:themeColor="background1"/>
                <w:sz w:val="20"/>
                <w:szCs w:val="20"/>
              </w:rPr>
              <w:lastRenderedPageBreak/>
              <w:t>Remuneration Package</w:t>
            </w:r>
            <w:r w:rsidR="00451D49">
              <w:rPr>
                <w:b/>
                <w:bCs/>
                <w:color w:val="FFFFFF" w:themeColor="background1"/>
                <w:sz w:val="20"/>
                <w:szCs w:val="20"/>
              </w:rPr>
              <w:t xml:space="preserve"> (</w:t>
            </w:r>
            <w:r w:rsidR="00451D49">
              <w:t>Recruitment to review</w:t>
            </w:r>
            <w:r w:rsidR="00451D49">
              <w:rPr>
                <w:b/>
                <w:bCs/>
                <w:color w:val="FFFFFF" w:themeColor="background1"/>
                <w:sz w:val="20"/>
                <w:szCs w:val="20"/>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003591"/>
          </w:tcPr>
          <w:p w14:paraId="61AFE2C4" w14:textId="77777777" w:rsidR="007B3338" w:rsidRPr="00A5596C" w:rsidRDefault="007B3338" w:rsidP="0009624A">
            <w:pPr>
              <w:pStyle w:val="TableParagraph"/>
              <w:kinsoku w:val="0"/>
              <w:overflowPunct w:val="0"/>
              <w:spacing w:before="9" w:line="220" w:lineRule="exact"/>
              <w:ind w:right="110"/>
              <w:jc w:val="center"/>
              <w:rPr>
                <w:b/>
                <w:bCs/>
                <w:color w:val="FFFFFF" w:themeColor="background1"/>
                <w:spacing w:val="-1"/>
                <w:w w:val="105"/>
                <w:sz w:val="20"/>
                <w:szCs w:val="20"/>
                <w:highlight w:val="yellow"/>
              </w:rPr>
            </w:pPr>
            <w:r w:rsidRPr="005E35A8">
              <w:rPr>
                <w:b/>
                <w:bCs/>
                <w:color w:val="FFFFFF" w:themeColor="background1"/>
                <w:spacing w:val="-1"/>
                <w:w w:val="105"/>
                <w:sz w:val="20"/>
                <w:szCs w:val="20"/>
              </w:rPr>
              <w:t>Total Annual ($)</w:t>
            </w:r>
          </w:p>
        </w:tc>
      </w:tr>
      <w:tr w:rsidR="007B3338" w:rsidRPr="00A5596C" w14:paraId="7F676B81" w14:textId="77777777" w:rsidTr="0009624A">
        <w:trPr>
          <w:trHeight w:val="186"/>
        </w:trPr>
        <w:tc>
          <w:tcPr>
            <w:tcW w:w="5235" w:type="dxa"/>
            <w:vMerge/>
            <w:tcBorders>
              <w:left w:val="single" w:sz="4" w:space="0" w:color="000000"/>
              <w:bottom w:val="single" w:sz="4" w:space="0" w:color="000000"/>
              <w:right w:val="single" w:sz="4" w:space="0" w:color="000000"/>
            </w:tcBorders>
            <w:shd w:val="clear" w:color="auto" w:fill="003591"/>
          </w:tcPr>
          <w:p w14:paraId="6996D59D" w14:textId="77777777" w:rsidR="007B3338" w:rsidRPr="00A5596C" w:rsidRDefault="007B3338" w:rsidP="0009624A">
            <w:pPr>
              <w:pStyle w:val="TableParagraph"/>
              <w:kinsoku w:val="0"/>
              <w:overflowPunct w:val="0"/>
              <w:spacing w:before="14" w:line="215" w:lineRule="exact"/>
              <w:ind w:left="142" w:right="110"/>
              <w:rPr>
                <w:b/>
                <w:bCs/>
                <w:color w:val="FFFFFF" w:themeColor="background1"/>
                <w:sz w:val="20"/>
                <w:szCs w:val="20"/>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003591"/>
          </w:tcPr>
          <w:p w14:paraId="5A8DD3DB" w14:textId="77777777" w:rsidR="007B3338" w:rsidRPr="005E35A8" w:rsidRDefault="007B3338" w:rsidP="0009624A">
            <w:pPr>
              <w:pStyle w:val="TableParagraph"/>
              <w:kinsoku w:val="0"/>
              <w:overflowPunct w:val="0"/>
              <w:spacing w:before="9" w:line="220" w:lineRule="exact"/>
              <w:ind w:right="110"/>
              <w:jc w:val="right"/>
              <w:rPr>
                <w:b/>
                <w:bCs/>
                <w:color w:val="FFFFFF" w:themeColor="background1"/>
                <w:spacing w:val="-1"/>
                <w:w w:val="105"/>
                <w:sz w:val="20"/>
                <w:szCs w:val="20"/>
              </w:rPr>
            </w:pPr>
            <w:r w:rsidRPr="005E35A8">
              <w:rPr>
                <w:b/>
                <w:bCs/>
                <w:color w:val="FFFFFF" w:themeColor="background1"/>
                <w:spacing w:val="-1"/>
                <w:w w:val="105"/>
                <w:sz w:val="20"/>
                <w:szCs w:val="20"/>
              </w:rPr>
              <w:t>L13</w:t>
            </w:r>
          </w:p>
        </w:tc>
        <w:tc>
          <w:tcPr>
            <w:tcW w:w="2410" w:type="dxa"/>
            <w:tcBorders>
              <w:top w:val="single" w:sz="4" w:space="0" w:color="000000"/>
              <w:left w:val="single" w:sz="4" w:space="0" w:color="000000"/>
              <w:bottom w:val="single" w:sz="4" w:space="0" w:color="000000"/>
              <w:right w:val="single" w:sz="4" w:space="0" w:color="000000"/>
            </w:tcBorders>
            <w:shd w:val="clear" w:color="auto" w:fill="003591"/>
          </w:tcPr>
          <w:p w14:paraId="0E056103" w14:textId="77777777" w:rsidR="007B3338" w:rsidRPr="005E35A8" w:rsidRDefault="007B3338" w:rsidP="0009624A">
            <w:pPr>
              <w:pStyle w:val="TableParagraph"/>
              <w:kinsoku w:val="0"/>
              <w:overflowPunct w:val="0"/>
              <w:spacing w:before="9" w:line="220" w:lineRule="exact"/>
              <w:ind w:right="110"/>
              <w:jc w:val="right"/>
              <w:rPr>
                <w:b/>
                <w:bCs/>
                <w:color w:val="FFFFFF" w:themeColor="background1"/>
                <w:spacing w:val="-1"/>
                <w:w w:val="105"/>
                <w:sz w:val="20"/>
                <w:szCs w:val="20"/>
              </w:rPr>
            </w:pPr>
            <w:r w:rsidRPr="005E35A8">
              <w:rPr>
                <w:b/>
                <w:bCs/>
                <w:color w:val="FFFFFF" w:themeColor="background1"/>
                <w:spacing w:val="-1"/>
                <w:w w:val="105"/>
                <w:sz w:val="20"/>
                <w:szCs w:val="20"/>
              </w:rPr>
              <w:t>L2</w:t>
            </w:r>
            <w:r>
              <w:rPr>
                <w:b/>
                <w:bCs/>
                <w:color w:val="FFFFFF" w:themeColor="background1"/>
                <w:spacing w:val="-1"/>
                <w:w w:val="105"/>
                <w:sz w:val="20"/>
                <w:szCs w:val="20"/>
              </w:rPr>
              <w:t>7</w:t>
            </w:r>
          </w:p>
        </w:tc>
      </w:tr>
      <w:tr w:rsidR="007B3338" w:rsidRPr="00A5596C" w14:paraId="4E051C57"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tcPr>
          <w:p w14:paraId="3D9435A4" w14:textId="77777777" w:rsidR="007B3338" w:rsidRPr="005E35A8" w:rsidRDefault="007B3338" w:rsidP="0009624A">
            <w:pPr>
              <w:pStyle w:val="TableParagraph"/>
              <w:kinsoku w:val="0"/>
              <w:overflowPunct w:val="0"/>
              <w:spacing w:before="14" w:line="215" w:lineRule="exact"/>
              <w:ind w:left="142" w:right="110"/>
              <w:rPr>
                <w:color w:val="111113"/>
                <w:sz w:val="20"/>
                <w:szCs w:val="20"/>
              </w:rPr>
            </w:pPr>
            <w:r w:rsidRPr="005E35A8">
              <w:rPr>
                <w:color w:val="111113"/>
                <w:sz w:val="20"/>
                <w:szCs w:val="20"/>
              </w:rPr>
              <w:t>Base Salary</w:t>
            </w:r>
          </w:p>
        </w:tc>
        <w:tc>
          <w:tcPr>
            <w:tcW w:w="2410" w:type="dxa"/>
            <w:tcBorders>
              <w:top w:val="single" w:sz="4" w:space="0" w:color="000000"/>
              <w:left w:val="single" w:sz="4" w:space="0" w:color="000000"/>
              <w:bottom w:val="single" w:sz="4" w:space="0" w:color="000000"/>
              <w:right w:val="single" w:sz="4" w:space="0" w:color="000000"/>
            </w:tcBorders>
          </w:tcPr>
          <w:p w14:paraId="79DA9F21" w14:textId="77777777" w:rsidR="007B3338" w:rsidRPr="005E35A8" w:rsidRDefault="007B3338" w:rsidP="0009624A">
            <w:pPr>
              <w:pStyle w:val="TableParagraph"/>
              <w:kinsoku w:val="0"/>
              <w:overflowPunct w:val="0"/>
              <w:spacing w:before="9" w:line="220" w:lineRule="exact"/>
              <w:ind w:right="110"/>
              <w:jc w:val="right"/>
              <w:rPr>
                <w:color w:val="111113"/>
                <w:spacing w:val="-1"/>
                <w:w w:val="105"/>
                <w:sz w:val="20"/>
                <w:szCs w:val="20"/>
              </w:rPr>
            </w:pPr>
            <w:r w:rsidRPr="005E35A8">
              <w:rPr>
                <w:color w:val="111113"/>
                <w:spacing w:val="-1"/>
                <w:w w:val="105"/>
                <w:sz w:val="20"/>
                <w:szCs w:val="20"/>
              </w:rPr>
              <w:t>$176,802</w:t>
            </w:r>
          </w:p>
        </w:tc>
        <w:tc>
          <w:tcPr>
            <w:tcW w:w="2410" w:type="dxa"/>
            <w:tcBorders>
              <w:top w:val="single" w:sz="4" w:space="0" w:color="000000"/>
              <w:left w:val="single" w:sz="4" w:space="0" w:color="000000"/>
              <w:bottom w:val="single" w:sz="4" w:space="0" w:color="000000"/>
              <w:right w:val="single" w:sz="4" w:space="0" w:color="000000"/>
            </w:tcBorders>
          </w:tcPr>
          <w:p w14:paraId="5317AAED" w14:textId="77777777" w:rsidR="007B3338" w:rsidRPr="005E35A8" w:rsidRDefault="007B3338" w:rsidP="0009624A">
            <w:pPr>
              <w:pStyle w:val="TableParagraph"/>
              <w:kinsoku w:val="0"/>
              <w:overflowPunct w:val="0"/>
              <w:spacing w:before="9" w:line="220" w:lineRule="exact"/>
              <w:ind w:right="110"/>
              <w:jc w:val="right"/>
              <w:rPr>
                <w:color w:val="111113"/>
                <w:spacing w:val="-1"/>
                <w:w w:val="105"/>
                <w:sz w:val="20"/>
                <w:szCs w:val="20"/>
              </w:rPr>
            </w:pPr>
            <w:r w:rsidRPr="005E35A8">
              <w:rPr>
                <w:color w:val="111113"/>
                <w:spacing w:val="-1"/>
                <w:w w:val="105"/>
                <w:sz w:val="20"/>
                <w:szCs w:val="20"/>
              </w:rPr>
              <w:t>$258,910</w:t>
            </w:r>
          </w:p>
        </w:tc>
      </w:tr>
      <w:tr w:rsidR="007B3338" w:rsidRPr="00A5596C" w14:paraId="1A348FED"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tcPr>
          <w:p w14:paraId="351D1211" w14:textId="77777777" w:rsidR="007B3338" w:rsidRPr="005E35A8" w:rsidRDefault="007B3338" w:rsidP="0009624A">
            <w:pPr>
              <w:pStyle w:val="TableParagraph"/>
              <w:kinsoku w:val="0"/>
              <w:overflowPunct w:val="0"/>
              <w:spacing w:before="14" w:line="215" w:lineRule="exact"/>
              <w:ind w:left="142" w:right="110"/>
              <w:rPr>
                <w:color w:val="111113"/>
                <w:sz w:val="20"/>
                <w:szCs w:val="20"/>
              </w:rPr>
            </w:pPr>
            <w:r w:rsidRPr="005E35A8">
              <w:rPr>
                <w:spacing w:val="-2"/>
                <w:w w:val="105"/>
                <w:sz w:val="20"/>
                <w:szCs w:val="20"/>
              </w:rPr>
              <w:t xml:space="preserve">Motor </w:t>
            </w:r>
            <w:r w:rsidRPr="005E35A8">
              <w:rPr>
                <w:spacing w:val="-1"/>
                <w:w w:val="105"/>
                <w:sz w:val="20"/>
                <w:szCs w:val="20"/>
              </w:rPr>
              <w:t>Vehicle Allowance</w:t>
            </w:r>
          </w:p>
        </w:tc>
        <w:tc>
          <w:tcPr>
            <w:tcW w:w="2410" w:type="dxa"/>
            <w:tcBorders>
              <w:top w:val="single" w:sz="4" w:space="0" w:color="000000"/>
              <w:left w:val="single" w:sz="4" w:space="0" w:color="000000"/>
              <w:bottom w:val="single" w:sz="4" w:space="0" w:color="000000"/>
              <w:right w:val="single" w:sz="4" w:space="0" w:color="000000"/>
            </w:tcBorders>
          </w:tcPr>
          <w:p w14:paraId="374AF58F" w14:textId="77777777" w:rsidR="007B3338" w:rsidRPr="005E35A8" w:rsidRDefault="007B3338" w:rsidP="0009624A">
            <w:pPr>
              <w:pStyle w:val="TableParagraph"/>
              <w:kinsoku w:val="0"/>
              <w:overflowPunct w:val="0"/>
              <w:spacing w:before="9" w:line="220" w:lineRule="exact"/>
              <w:ind w:right="110"/>
              <w:jc w:val="right"/>
              <w:rPr>
                <w:color w:val="111113"/>
                <w:spacing w:val="-1"/>
                <w:w w:val="105"/>
                <w:sz w:val="20"/>
                <w:szCs w:val="20"/>
              </w:rPr>
            </w:pPr>
            <w:r w:rsidRPr="005E35A8">
              <w:rPr>
                <w:sz w:val="20"/>
                <w:szCs w:val="20"/>
              </w:rPr>
              <w:t>$21,000</w:t>
            </w:r>
          </w:p>
        </w:tc>
        <w:tc>
          <w:tcPr>
            <w:tcW w:w="2410" w:type="dxa"/>
            <w:tcBorders>
              <w:top w:val="single" w:sz="4" w:space="0" w:color="000000"/>
              <w:left w:val="single" w:sz="4" w:space="0" w:color="000000"/>
              <w:bottom w:val="single" w:sz="4" w:space="0" w:color="000000"/>
              <w:right w:val="single" w:sz="4" w:space="0" w:color="000000"/>
            </w:tcBorders>
          </w:tcPr>
          <w:p w14:paraId="51BB518E" w14:textId="77777777" w:rsidR="007B3338" w:rsidRPr="005E35A8" w:rsidRDefault="007B3338" w:rsidP="0009624A">
            <w:pPr>
              <w:pStyle w:val="TableParagraph"/>
              <w:kinsoku w:val="0"/>
              <w:overflowPunct w:val="0"/>
              <w:spacing w:before="9" w:line="220" w:lineRule="exact"/>
              <w:ind w:right="110"/>
              <w:jc w:val="right"/>
              <w:rPr>
                <w:color w:val="111113"/>
                <w:spacing w:val="-1"/>
                <w:w w:val="105"/>
                <w:sz w:val="20"/>
                <w:szCs w:val="20"/>
              </w:rPr>
            </w:pPr>
            <w:r w:rsidRPr="005E35A8">
              <w:rPr>
                <w:sz w:val="20"/>
                <w:szCs w:val="20"/>
              </w:rPr>
              <w:t>$25,500</w:t>
            </w:r>
          </w:p>
        </w:tc>
      </w:tr>
      <w:tr w:rsidR="007B3338" w:rsidRPr="00A5596C" w14:paraId="6B3E23EF"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tcPr>
          <w:p w14:paraId="6D823AAE" w14:textId="77777777" w:rsidR="007B3338" w:rsidRPr="005E35A8" w:rsidRDefault="007B3338" w:rsidP="0009624A">
            <w:pPr>
              <w:pStyle w:val="TableParagraph"/>
              <w:kinsoku w:val="0"/>
              <w:overflowPunct w:val="0"/>
              <w:spacing w:before="14" w:line="215" w:lineRule="exact"/>
              <w:ind w:left="142" w:right="110"/>
              <w:rPr>
                <w:spacing w:val="-2"/>
                <w:w w:val="105"/>
                <w:sz w:val="20"/>
                <w:szCs w:val="20"/>
              </w:rPr>
            </w:pPr>
            <w:r w:rsidRPr="005E35A8">
              <w:rPr>
                <w:w w:val="105"/>
                <w:sz w:val="20"/>
                <w:szCs w:val="20"/>
              </w:rPr>
              <w:t xml:space="preserve">Professional </w:t>
            </w:r>
            <w:r w:rsidRPr="005E35A8">
              <w:rPr>
                <w:spacing w:val="-59"/>
                <w:w w:val="105"/>
                <w:sz w:val="20"/>
                <w:szCs w:val="20"/>
              </w:rPr>
              <w:t xml:space="preserve">  </w:t>
            </w:r>
            <w:r w:rsidRPr="005E35A8">
              <w:rPr>
                <w:sz w:val="20"/>
                <w:szCs w:val="20"/>
              </w:rPr>
              <w:t>Development Allowance</w:t>
            </w:r>
          </w:p>
        </w:tc>
        <w:tc>
          <w:tcPr>
            <w:tcW w:w="2410" w:type="dxa"/>
            <w:tcBorders>
              <w:top w:val="single" w:sz="4" w:space="0" w:color="000000"/>
              <w:left w:val="single" w:sz="4" w:space="0" w:color="000000"/>
              <w:bottom w:val="single" w:sz="4" w:space="0" w:color="000000"/>
              <w:right w:val="single" w:sz="4" w:space="0" w:color="000000"/>
            </w:tcBorders>
          </w:tcPr>
          <w:p w14:paraId="38121F45" w14:textId="77777777" w:rsidR="007B3338" w:rsidRPr="005E35A8" w:rsidRDefault="007B3338" w:rsidP="0009624A">
            <w:pPr>
              <w:pStyle w:val="TableParagraph"/>
              <w:kinsoku w:val="0"/>
              <w:overflowPunct w:val="0"/>
              <w:spacing w:before="9" w:line="220" w:lineRule="exact"/>
              <w:ind w:right="110"/>
              <w:jc w:val="right"/>
              <w:rPr>
                <w:sz w:val="20"/>
                <w:szCs w:val="20"/>
              </w:rPr>
            </w:pPr>
            <w:r w:rsidRPr="005E35A8">
              <w:rPr>
                <w:sz w:val="20"/>
                <w:szCs w:val="20"/>
              </w:rPr>
              <w:t>$21,500</w:t>
            </w:r>
          </w:p>
        </w:tc>
        <w:tc>
          <w:tcPr>
            <w:tcW w:w="2410" w:type="dxa"/>
            <w:tcBorders>
              <w:top w:val="single" w:sz="4" w:space="0" w:color="000000"/>
              <w:left w:val="single" w:sz="4" w:space="0" w:color="000000"/>
              <w:bottom w:val="single" w:sz="4" w:space="0" w:color="000000"/>
              <w:right w:val="single" w:sz="4" w:space="0" w:color="000000"/>
            </w:tcBorders>
          </w:tcPr>
          <w:p w14:paraId="2A466FDC" w14:textId="77777777" w:rsidR="007B3338" w:rsidRPr="005E35A8" w:rsidRDefault="007B3338" w:rsidP="0009624A">
            <w:pPr>
              <w:pStyle w:val="TableParagraph"/>
              <w:kinsoku w:val="0"/>
              <w:overflowPunct w:val="0"/>
              <w:spacing w:before="9" w:line="220" w:lineRule="exact"/>
              <w:ind w:right="110"/>
              <w:jc w:val="right"/>
              <w:rPr>
                <w:sz w:val="20"/>
                <w:szCs w:val="20"/>
              </w:rPr>
            </w:pPr>
            <w:r w:rsidRPr="005E35A8">
              <w:rPr>
                <w:sz w:val="20"/>
                <w:szCs w:val="20"/>
              </w:rPr>
              <w:t>$21,500</w:t>
            </w:r>
          </w:p>
        </w:tc>
      </w:tr>
      <w:tr w:rsidR="007B3338" w:rsidRPr="00A5596C" w14:paraId="1617EFBB"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tcPr>
          <w:p w14:paraId="49F57FEF" w14:textId="77777777" w:rsidR="007B3338" w:rsidRPr="005E35A8" w:rsidRDefault="007B3338" w:rsidP="0009624A">
            <w:pPr>
              <w:pStyle w:val="TableParagraph"/>
              <w:kinsoku w:val="0"/>
              <w:overflowPunct w:val="0"/>
              <w:spacing w:before="14" w:line="215" w:lineRule="exact"/>
              <w:ind w:left="142" w:right="110"/>
              <w:rPr>
                <w:w w:val="105"/>
                <w:sz w:val="20"/>
                <w:szCs w:val="20"/>
              </w:rPr>
            </w:pPr>
            <w:r w:rsidRPr="005E35A8">
              <w:rPr>
                <w:w w:val="105"/>
                <w:sz w:val="20"/>
                <w:szCs w:val="20"/>
              </w:rPr>
              <w:t>Inaccessibility Incentive Allowance (category 6)</w:t>
            </w:r>
            <w:r>
              <w:rPr>
                <w:w w:val="105"/>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6A39D441" w14:textId="77777777" w:rsidR="007B3338" w:rsidRPr="005E35A8" w:rsidRDefault="007B3338" w:rsidP="0009624A">
            <w:pPr>
              <w:pStyle w:val="TableParagraph"/>
              <w:kinsoku w:val="0"/>
              <w:overflowPunct w:val="0"/>
              <w:spacing w:before="9" w:line="220" w:lineRule="exact"/>
              <w:ind w:right="110"/>
              <w:jc w:val="right"/>
              <w:rPr>
                <w:sz w:val="20"/>
                <w:szCs w:val="20"/>
              </w:rPr>
            </w:pPr>
            <w:r w:rsidRPr="005E35A8">
              <w:rPr>
                <w:sz w:val="20"/>
                <w:szCs w:val="20"/>
              </w:rPr>
              <w:t>$13,800</w:t>
            </w:r>
          </w:p>
        </w:tc>
        <w:tc>
          <w:tcPr>
            <w:tcW w:w="2410" w:type="dxa"/>
            <w:tcBorders>
              <w:top w:val="single" w:sz="4" w:space="0" w:color="000000"/>
              <w:left w:val="single" w:sz="4" w:space="0" w:color="000000"/>
              <w:bottom w:val="single" w:sz="4" w:space="0" w:color="000000"/>
              <w:right w:val="single" w:sz="4" w:space="0" w:color="000000"/>
            </w:tcBorders>
          </w:tcPr>
          <w:p w14:paraId="4790B90D" w14:textId="77777777" w:rsidR="007B3338" w:rsidRPr="005E35A8" w:rsidRDefault="007B3338" w:rsidP="0009624A">
            <w:pPr>
              <w:pStyle w:val="TableParagraph"/>
              <w:kinsoku w:val="0"/>
              <w:overflowPunct w:val="0"/>
              <w:spacing w:before="9" w:line="220" w:lineRule="exact"/>
              <w:ind w:right="110"/>
              <w:jc w:val="right"/>
              <w:rPr>
                <w:sz w:val="20"/>
                <w:szCs w:val="20"/>
              </w:rPr>
            </w:pPr>
            <w:r w:rsidRPr="005E35A8">
              <w:rPr>
                <w:sz w:val="20"/>
                <w:szCs w:val="20"/>
              </w:rPr>
              <w:t>$13,800</w:t>
            </w:r>
          </w:p>
        </w:tc>
      </w:tr>
      <w:tr w:rsidR="007B3338" w:rsidRPr="00A5596C" w14:paraId="23064B71"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2F54A1C4" w14:textId="77777777" w:rsidR="007B3338" w:rsidRPr="007C2A3C" w:rsidRDefault="007B3338" w:rsidP="0009624A">
            <w:pPr>
              <w:pStyle w:val="TableParagraph"/>
              <w:kinsoku w:val="0"/>
              <w:overflowPunct w:val="0"/>
              <w:spacing w:before="14" w:line="215" w:lineRule="exact"/>
              <w:ind w:left="142" w:right="110"/>
              <w:rPr>
                <w:color w:val="111113"/>
                <w:sz w:val="20"/>
                <w:szCs w:val="20"/>
              </w:rPr>
            </w:pPr>
            <w:r w:rsidRPr="007C2A3C">
              <w:rPr>
                <w:color w:val="111113"/>
                <w:sz w:val="20"/>
                <w:szCs w:val="20"/>
              </w:rPr>
              <w:t>Estimated Remuneration (excluding superannuation)</w:t>
            </w:r>
          </w:p>
        </w:tc>
        <w:tc>
          <w:tcPr>
            <w:tcW w:w="2410"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5CCEA4F5" w14:textId="77777777" w:rsidR="007B3338" w:rsidRPr="007C2A3C" w:rsidRDefault="007B3338" w:rsidP="0009624A">
            <w:pPr>
              <w:pStyle w:val="TableParagraph"/>
              <w:kinsoku w:val="0"/>
              <w:overflowPunct w:val="0"/>
              <w:spacing w:before="9" w:line="220" w:lineRule="exact"/>
              <w:ind w:right="110"/>
              <w:jc w:val="right"/>
              <w:rPr>
                <w:color w:val="111113"/>
                <w:spacing w:val="-1"/>
                <w:w w:val="105"/>
                <w:sz w:val="20"/>
                <w:szCs w:val="20"/>
              </w:rPr>
            </w:pPr>
            <w:r w:rsidRPr="007C2A3C">
              <w:rPr>
                <w:color w:val="111113"/>
                <w:spacing w:val="-1"/>
                <w:w w:val="105"/>
                <w:sz w:val="20"/>
                <w:szCs w:val="20"/>
              </w:rPr>
              <w:t>$233,102</w:t>
            </w:r>
          </w:p>
        </w:tc>
        <w:tc>
          <w:tcPr>
            <w:tcW w:w="2410"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7E9B3327" w14:textId="77777777" w:rsidR="007B3338" w:rsidRPr="007C2A3C" w:rsidRDefault="007B3338" w:rsidP="0009624A">
            <w:pPr>
              <w:pStyle w:val="TableParagraph"/>
              <w:kinsoku w:val="0"/>
              <w:overflowPunct w:val="0"/>
              <w:spacing w:before="9" w:line="220" w:lineRule="exact"/>
              <w:ind w:right="110"/>
              <w:jc w:val="right"/>
              <w:rPr>
                <w:color w:val="111113"/>
                <w:spacing w:val="-1"/>
                <w:w w:val="105"/>
                <w:sz w:val="20"/>
                <w:szCs w:val="20"/>
              </w:rPr>
            </w:pPr>
            <w:r w:rsidRPr="007C2A3C">
              <w:rPr>
                <w:color w:val="111113"/>
                <w:spacing w:val="-1"/>
                <w:w w:val="105"/>
                <w:sz w:val="20"/>
                <w:szCs w:val="20"/>
              </w:rPr>
              <w:t>$319,710</w:t>
            </w:r>
          </w:p>
        </w:tc>
      </w:tr>
      <w:tr w:rsidR="007B3338" w:rsidRPr="00A5596C" w14:paraId="6C73EC61"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4388F3A9" w14:textId="77777777" w:rsidR="007B3338" w:rsidRPr="00A5596C" w:rsidRDefault="007B3338" w:rsidP="0009624A">
            <w:pPr>
              <w:pStyle w:val="TableParagraph"/>
              <w:kinsoku w:val="0"/>
              <w:overflowPunct w:val="0"/>
              <w:spacing w:before="14" w:line="215" w:lineRule="exact"/>
              <w:ind w:left="142" w:right="110"/>
              <w:rPr>
                <w:color w:val="111113"/>
                <w:sz w:val="20"/>
                <w:szCs w:val="20"/>
                <w:highlight w:val="yellow"/>
              </w:rPr>
            </w:pPr>
            <w:r w:rsidRPr="007C2A3C">
              <w:rPr>
                <w:color w:val="111113"/>
                <w:sz w:val="20"/>
                <w:szCs w:val="20"/>
              </w:rPr>
              <w:t>Superannuation Estimate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F86A6A" w14:textId="77777777" w:rsidR="007B3338" w:rsidRPr="00375D6B" w:rsidRDefault="007B3338" w:rsidP="0009624A">
            <w:pPr>
              <w:pStyle w:val="TableParagraph"/>
              <w:kinsoku w:val="0"/>
              <w:overflowPunct w:val="0"/>
              <w:spacing w:before="9" w:line="220" w:lineRule="exact"/>
              <w:ind w:right="110"/>
              <w:jc w:val="right"/>
              <w:rPr>
                <w:color w:val="111113"/>
                <w:spacing w:val="-1"/>
                <w:w w:val="105"/>
                <w:sz w:val="20"/>
                <w:szCs w:val="20"/>
              </w:rPr>
            </w:pPr>
            <w:r w:rsidRPr="00375D6B">
              <w:rPr>
                <w:color w:val="111113"/>
                <w:spacing w:val="-1"/>
                <w:w w:val="105"/>
                <w:sz w:val="20"/>
                <w:szCs w:val="20"/>
              </w:rPr>
              <w:t>$22,542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17646A" w14:textId="77777777" w:rsidR="007B3338" w:rsidRPr="00375D6B" w:rsidRDefault="007B3338" w:rsidP="0009624A">
            <w:pPr>
              <w:pStyle w:val="TableParagraph"/>
              <w:kinsoku w:val="0"/>
              <w:overflowPunct w:val="0"/>
              <w:spacing w:before="9" w:line="220" w:lineRule="exact"/>
              <w:ind w:right="110"/>
              <w:jc w:val="right"/>
              <w:rPr>
                <w:color w:val="111113"/>
                <w:spacing w:val="-1"/>
                <w:w w:val="105"/>
                <w:sz w:val="20"/>
                <w:szCs w:val="20"/>
              </w:rPr>
            </w:pPr>
            <w:r w:rsidRPr="00375D6B">
              <w:rPr>
                <w:color w:val="111113"/>
                <w:spacing w:val="-1"/>
                <w:w w:val="105"/>
                <w:sz w:val="20"/>
                <w:szCs w:val="20"/>
              </w:rPr>
              <w:t>$33,011</w:t>
            </w:r>
          </w:p>
        </w:tc>
      </w:tr>
      <w:tr w:rsidR="007B3338" w:rsidRPr="0028174C" w14:paraId="5C427905" w14:textId="77777777" w:rsidTr="0009624A">
        <w:trPr>
          <w:trHeight w:val="284"/>
        </w:trPr>
        <w:tc>
          <w:tcPr>
            <w:tcW w:w="5235"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36403615" w14:textId="77777777" w:rsidR="007B3338" w:rsidRPr="007C2A3C" w:rsidRDefault="007B3338" w:rsidP="0009624A">
            <w:pPr>
              <w:pStyle w:val="TableParagraph"/>
              <w:kinsoku w:val="0"/>
              <w:overflowPunct w:val="0"/>
              <w:spacing w:before="14" w:line="215" w:lineRule="exact"/>
              <w:ind w:left="142" w:right="110"/>
              <w:rPr>
                <w:b/>
                <w:bCs/>
                <w:color w:val="111113"/>
                <w:sz w:val="20"/>
                <w:szCs w:val="20"/>
              </w:rPr>
            </w:pPr>
            <w:r w:rsidRPr="007C2A3C">
              <w:rPr>
                <w:b/>
                <w:bCs/>
                <w:color w:val="111113"/>
                <w:sz w:val="20"/>
                <w:szCs w:val="20"/>
              </w:rPr>
              <w:t>TOTAL ESTIMATED REMUNERATION</w:t>
            </w:r>
          </w:p>
        </w:tc>
        <w:tc>
          <w:tcPr>
            <w:tcW w:w="2410"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58678C62" w14:textId="77777777" w:rsidR="007B3338" w:rsidRPr="00375D6B" w:rsidRDefault="007B3338" w:rsidP="0009624A">
            <w:pPr>
              <w:pStyle w:val="TableParagraph"/>
              <w:kinsoku w:val="0"/>
              <w:overflowPunct w:val="0"/>
              <w:spacing w:before="9" w:line="220" w:lineRule="exact"/>
              <w:ind w:right="110"/>
              <w:jc w:val="right"/>
              <w:rPr>
                <w:b/>
                <w:bCs/>
                <w:color w:val="111113"/>
                <w:spacing w:val="-1"/>
                <w:w w:val="105"/>
                <w:sz w:val="20"/>
                <w:szCs w:val="20"/>
              </w:rPr>
            </w:pPr>
            <w:r w:rsidRPr="00375D6B">
              <w:rPr>
                <w:b/>
                <w:bCs/>
                <w:color w:val="111113"/>
                <w:spacing w:val="-1"/>
                <w:w w:val="105"/>
                <w:sz w:val="20"/>
                <w:szCs w:val="20"/>
              </w:rPr>
              <w:t>$255,644</w:t>
            </w:r>
          </w:p>
        </w:tc>
        <w:tc>
          <w:tcPr>
            <w:tcW w:w="2410" w:type="dxa"/>
            <w:tcBorders>
              <w:top w:val="single" w:sz="4" w:space="0" w:color="000000"/>
              <w:left w:val="single" w:sz="4" w:space="0" w:color="000000"/>
              <w:bottom w:val="single" w:sz="4" w:space="0" w:color="000000"/>
              <w:right w:val="single" w:sz="4" w:space="0" w:color="000000"/>
            </w:tcBorders>
            <w:shd w:val="clear" w:color="auto" w:fill="C5EEFF" w:themeFill="background2" w:themeFillTint="33"/>
          </w:tcPr>
          <w:p w14:paraId="178173C1" w14:textId="77777777" w:rsidR="007B3338" w:rsidRPr="00375D6B" w:rsidRDefault="007B3338" w:rsidP="0009624A">
            <w:pPr>
              <w:pStyle w:val="TableParagraph"/>
              <w:kinsoku w:val="0"/>
              <w:overflowPunct w:val="0"/>
              <w:spacing w:before="9" w:line="220" w:lineRule="exact"/>
              <w:ind w:right="110"/>
              <w:jc w:val="right"/>
              <w:rPr>
                <w:b/>
                <w:bCs/>
                <w:color w:val="111113"/>
                <w:spacing w:val="-1"/>
                <w:w w:val="105"/>
                <w:sz w:val="20"/>
                <w:szCs w:val="20"/>
              </w:rPr>
            </w:pPr>
            <w:r w:rsidRPr="00375D6B">
              <w:rPr>
                <w:b/>
                <w:bCs/>
                <w:color w:val="111113"/>
                <w:spacing w:val="-1"/>
                <w:w w:val="105"/>
                <w:sz w:val="20"/>
                <w:szCs w:val="20"/>
              </w:rPr>
              <w:t>$352,721</w:t>
            </w:r>
          </w:p>
        </w:tc>
      </w:tr>
    </w:tbl>
    <w:p w14:paraId="7D29A0B6" w14:textId="77777777" w:rsidR="007B3338" w:rsidRPr="002E1DA6" w:rsidRDefault="007B3338" w:rsidP="007B3338">
      <w:pPr>
        <w:pStyle w:val="TableParagraph"/>
        <w:kinsoku w:val="0"/>
        <w:overflowPunct w:val="0"/>
        <w:spacing w:before="120"/>
        <w:ind w:right="110"/>
        <w:jc w:val="both"/>
        <w:rPr>
          <w:w w:val="105"/>
          <w:sz w:val="16"/>
          <w:szCs w:val="16"/>
        </w:rPr>
      </w:pPr>
      <w:bookmarkStart w:id="5" w:name="_Hlk87867015"/>
      <w:r w:rsidRPr="002E1DA6">
        <w:rPr>
          <w:b/>
          <w:bCs/>
          <w:sz w:val="16"/>
          <w:szCs w:val="16"/>
        </w:rPr>
        <w:t>*</w:t>
      </w:r>
      <w:r w:rsidRPr="002E1DA6">
        <w:rPr>
          <w:w w:val="105"/>
          <w:sz w:val="16"/>
          <w:szCs w:val="16"/>
        </w:rPr>
        <w:t>(payment starts on completion of 12 months)</w:t>
      </w:r>
      <w:bookmarkEnd w:id="5"/>
    </w:p>
    <w:bookmarkEnd w:id="3"/>
    <w:p w14:paraId="53F80796" w14:textId="77777777" w:rsidR="003113F6" w:rsidRDefault="003113F6" w:rsidP="003113F6">
      <w:pPr>
        <w:rPr>
          <w:b/>
          <w:bCs/>
        </w:rPr>
      </w:pPr>
    </w:p>
    <w:p w14:paraId="4597463E" w14:textId="2E00137A" w:rsidR="007B3338" w:rsidRPr="007C2A3C" w:rsidRDefault="007B3338" w:rsidP="003113F6">
      <w:pPr>
        <w:rPr>
          <w:b/>
          <w:bCs/>
        </w:rPr>
      </w:pPr>
      <w:r w:rsidRPr="007C2A3C">
        <w:rPr>
          <w:b/>
          <w:bCs/>
        </w:rPr>
        <w:t>Additional Benefits to this Role Include:</w:t>
      </w:r>
    </w:p>
    <w:p w14:paraId="576E8D0B" w14:textId="77777777" w:rsidR="007B3338" w:rsidRPr="007C2A3C" w:rsidRDefault="007B3338" w:rsidP="007B3338">
      <w:pPr>
        <w:pStyle w:val="TableParagraph"/>
        <w:numPr>
          <w:ilvl w:val="0"/>
          <w:numId w:val="20"/>
        </w:numPr>
        <w:kinsoku w:val="0"/>
        <w:overflowPunct w:val="0"/>
        <w:spacing w:before="120"/>
        <w:ind w:left="360" w:right="849"/>
        <w:jc w:val="both"/>
        <w:rPr>
          <w:rFonts w:eastAsia="Times New Roman"/>
          <w:sz w:val="20"/>
          <w:szCs w:val="20"/>
        </w:rPr>
      </w:pPr>
      <w:r w:rsidRPr="007C2A3C">
        <w:rPr>
          <w:w w:val="105"/>
          <w:sz w:val="20"/>
          <w:szCs w:val="20"/>
        </w:rPr>
        <w:t>Senior Medical Officers will accrue 3.6 weeks of Professional Development Leave each</w:t>
      </w:r>
      <w:r w:rsidRPr="007C2A3C">
        <w:rPr>
          <w:spacing w:val="-5"/>
          <w:w w:val="105"/>
          <w:sz w:val="20"/>
          <w:szCs w:val="20"/>
        </w:rPr>
        <w:t xml:space="preserve"> </w:t>
      </w:r>
      <w:r w:rsidRPr="007C2A3C">
        <w:rPr>
          <w:w w:val="105"/>
          <w:sz w:val="20"/>
          <w:szCs w:val="20"/>
        </w:rPr>
        <w:t>year,</w:t>
      </w:r>
      <w:r w:rsidRPr="007C2A3C">
        <w:rPr>
          <w:spacing w:val="-5"/>
          <w:w w:val="105"/>
          <w:sz w:val="20"/>
          <w:szCs w:val="20"/>
        </w:rPr>
        <w:t xml:space="preserve"> </w:t>
      </w:r>
      <w:r w:rsidRPr="007C2A3C">
        <w:rPr>
          <w:w w:val="105"/>
          <w:sz w:val="20"/>
          <w:szCs w:val="20"/>
        </w:rPr>
        <w:t>up</w:t>
      </w:r>
      <w:r w:rsidRPr="007C2A3C">
        <w:rPr>
          <w:spacing w:val="-13"/>
          <w:w w:val="105"/>
          <w:sz w:val="20"/>
          <w:szCs w:val="20"/>
        </w:rPr>
        <w:t xml:space="preserve"> </w:t>
      </w:r>
      <w:r w:rsidRPr="007C2A3C">
        <w:rPr>
          <w:w w:val="105"/>
          <w:sz w:val="20"/>
          <w:szCs w:val="20"/>
        </w:rPr>
        <w:t>to</w:t>
      </w:r>
      <w:r w:rsidRPr="007C2A3C">
        <w:rPr>
          <w:spacing w:val="-11"/>
          <w:w w:val="105"/>
          <w:sz w:val="20"/>
          <w:szCs w:val="20"/>
        </w:rPr>
        <w:t xml:space="preserve"> </w:t>
      </w:r>
      <w:r w:rsidRPr="007C2A3C">
        <w:rPr>
          <w:w w:val="105"/>
          <w:sz w:val="20"/>
          <w:szCs w:val="20"/>
        </w:rPr>
        <w:t>a</w:t>
      </w:r>
      <w:r w:rsidRPr="007C2A3C">
        <w:rPr>
          <w:spacing w:val="-15"/>
          <w:w w:val="105"/>
          <w:sz w:val="20"/>
          <w:szCs w:val="20"/>
        </w:rPr>
        <w:t xml:space="preserve"> </w:t>
      </w:r>
      <w:r w:rsidRPr="007C2A3C">
        <w:rPr>
          <w:w w:val="105"/>
          <w:sz w:val="20"/>
          <w:szCs w:val="20"/>
        </w:rPr>
        <w:t>maximum of</w:t>
      </w:r>
      <w:r w:rsidRPr="007C2A3C">
        <w:rPr>
          <w:spacing w:val="-11"/>
          <w:w w:val="105"/>
          <w:sz w:val="20"/>
          <w:szCs w:val="20"/>
        </w:rPr>
        <w:t xml:space="preserve"> </w:t>
      </w:r>
      <w:r w:rsidRPr="007C2A3C">
        <w:rPr>
          <w:w w:val="105"/>
          <w:sz w:val="20"/>
          <w:szCs w:val="20"/>
        </w:rPr>
        <w:t>10</w:t>
      </w:r>
      <w:r w:rsidRPr="007C2A3C">
        <w:rPr>
          <w:spacing w:val="-11"/>
          <w:w w:val="105"/>
          <w:sz w:val="20"/>
          <w:szCs w:val="20"/>
        </w:rPr>
        <w:t xml:space="preserve"> </w:t>
      </w:r>
      <w:r w:rsidRPr="007C2A3C">
        <w:rPr>
          <w:w w:val="105"/>
          <w:sz w:val="20"/>
          <w:szCs w:val="20"/>
        </w:rPr>
        <w:t>years accrual.</w:t>
      </w:r>
    </w:p>
    <w:p w14:paraId="4725B4A4" w14:textId="77777777" w:rsidR="007B3338" w:rsidRPr="007C2A3C" w:rsidRDefault="007B3338" w:rsidP="007B3338">
      <w:pPr>
        <w:pStyle w:val="TableParagraph"/>
        <w:numPr>
          <w:ilvl w:val="0"/>
          <w:numId w:val="20"/>
        </w:numPr>
        <w:kinsoku w:val="0"/>
        <w:overflowPunct w:val="0"/>
        <w:spacing w:before="120"/>
        <w:ind w:left="360" w:right="565"/>
        <w:jc w:val="both"/>
        <w:rPr>
          <w:rFonts w:eastAsia="Times New Roman"/>
          <w:sz w:val="20"/>
          <w:szCs w:val="20"/>
        </w:rPr>
      </w:pPr>
      <w:r w:rsidRPr="007C2A3C">
        <w:rPr>
          <w:w w:val="105"/>
          <w:sz w:val="20"/>
          <w:szCs w:val="20"/>
        </w:rPr>
        <w:t>5 weeks annual leave with 17.5% annual leave loading.</w:t>
      </w:r>
    </w:p>
    <w:p w14:paraId="0C8FC2A9" w14:textId="77777777" w:rsidR="007B3338" w:rsidRPr="007C2A3C" w:rsidRDefault="007B3338" w:rsidP="007B3338">
      <w:pPr>
        <w:pStyle w:val="TableParagraph"/>
        <w:numPr>
          <w:ilvl w:val="0"/>
          <w:numId w:val="20"/>
        </w:numPr>
        <w:kinsoku w:val="0"/>
        <w:overflowPunct w:val="0"/>
        <w:spacing w:before="120"/>
        <w:ind w:left="360" w:right="565"/>
        <w:jc w:val="both"/>
        <w:rPr>
          <w:rFonts w:eastAsia="Times New Roman"/>
          <w:sz w:val="20"/>
          <w:szCs w:val="20"/>
        </w:rPr>
      </w:pPr>
      <w:r w:rsidRPr="007C2A3C">
        <w:rPr>
          <w:w w:val="105"/>
          <w:sz w:val="20"/>
          <w:szCs w:val="20"/>
        </w:rPr>
        <w:t>Communication Package.</w:t>
      </w:r>
    </w:p>
    <w:p w14:paraId="022B8106" w14:textId="77777777" w:rsidR="007B3338" w:rsidRPr="007C2A3C" w:rsidRDefault="007B3338" w:rsidP="007B3338">
      <w:pPr>
        <w:pStyle w:val="TableParagraph"/>
        <w:numPr>
          <w:ilvl w:val="0"/>
          <w:numId w:val="20"/>
        </w:numPr>
        <w:kinsoku w:val="0"/>
        <w:overflowPunct w:val="0"/>
        <w:spacing w:before="120"/>
        <w:ind w:left="360" w:right="565"/>
        <w:jc w:val="both"/>
        <w:rPr>
          <w:rFonts w:eastAsia="Times New Roman"/>
          <w:sz w:val="20"/>
          <w:szCs w:val="20"/>
        </w:rPr>
      </w:pPr>
      <w:r w:rsidRPr="007C2A3C">
        <w:rPr>
          <w:w w:val="105"/>
          <w:sz w:val="20"/>
          <w:szCs w:val="20"/>
        </w:rPr>
        <w:t xml:space="preserve">Salary sacrificing for up to $17,000 grossed up taxable equivalent value. </w:t>
      </w:r>
    </w:p>
    <w:p w14:paraId="5A017C6C" w14:textId="6061725B" w:rsidR="007B3338" w:rsidRPr="007C2A3C" w:rsidRDefault="007B3338" w:rsidP="007B3338">
      <w:pPr>
        <w:pStyle w:val="ListParagraph0"/>
        <w:numPr>
          <w:ilvl w:val="0"/>
          <w:numId w:val="20"/>
        </w:numPr>
        <w:ind w:left="360" w:right="849"/>
        <w:jc w:val="both"/>
        <w:rPr>
          <w:szCs w:val="20"/>
        </w:rPr>
      </w:pPr>
      <w:r w:rsidRPr="007C2A3C">
        <w:t xml:space="preserve">Attraction and Retention Incentive Allowance payment of 35 % of your base rate </w:t>
      </w:r>
      <w:r w:rsidR="00451D49">
        <w:t xml:space="preserve">for GP SMO and 40% of your base rate for RG SMO. </w:t>
      </w:r>
    </w:p>
    <w:p w14:paraId="060F32C0" w14:textId="77777777" w:rsidR="007B3338" w:rsidRPr="007C2A3C" w:rsidRDefault="007B3338" w:rsidP="007B3338">
      <w:pPr>
        <w:pStyle w:val="ListParagraph0"/>
        <w:numPr>
          <w:ilvl w:val="0"/>
          <w:numId w:val="20"/>
        </w:numPr>
        <w:ind w:left="360"/>
        <w:jc w:val="both"/>
      </w:pPr>
      <w:r w:rsidRPr="007C2A3C">
        <w:t>Regional and Rural Attraction Allowance of 5% of your base rate.</w:t>
      </w:r>
    </w:p>
    <w:bookmarkEnd w:id="4"/>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6" w:name="Text22"/>
    </w:p>
    <w:p w14:paraId="53B5C687" w14:textId="77777777" w:rsidR="007B3338" w:rsidRDefault="007B3338" w:rsidP="007B3338">
      <w:pPr>
        <w:pStyle w:val="BodyText"/>
        <w:numPr>
          <w:ilvl w:val="0"/>
          <w:numId w:val="12"/>
        </w:numPr>
        <w:spacing w:line="240" w:lineRule="auto"/>
        <w:ind w:right="565"/>
        <w:rPr>
          <w:lang w:eastAsia="en-AU"/>
        </w:rPr>
      </w:pPr>
      <w:bookmarkStart w:id="7" w:name="_Hlk98328347"/>
      <w:bookmarkEnd w:id="6"/>
      <w:r w:rsidRPr="005E308D">
        <w:rPr>
          <w:lang w:eastAsia="en-AU"/>
        </w:rPr>
        <w:t>This position reports operationally to the Medical Superintendent Charters Towers Health Service</w:t>
      </w:r>
      <w:r>
        <w:rPr>
          <w:lang w:eastAsia="en-AU"/>
        </w:rPr>
        <w:t>.</w:t>
      </w:r>
      <w:r w:rsidRPr="005E308D">
        <w:rPr>
          <w:lang w:eastAsia="en-AU"/>
        </w:rPr>
        <w:t xml:space="preserve"> </w:t>
      </w:r>
    </w:p>
    <w:p w14:paraId="7F8E043A" w14:textId="77777777" w:rsidR="007B3338" w:rsidRPr="004C3679" w:rsidRDefault="007B3338" w:rsidP="007B3338">
      <w:pPr>
        <w:pStyle w:val="BodyText"/>
        <w:numPr>
          <w:ilvl w:val="0"/>
          <w:numId w:val="12"/>
        </w:numPr>
        <w:spacing w:after="0" w:line="240" w:lineRule="auto"/>
        <w:ind w:left="357" w:right="565" w:hanging="357"/>
        <w:rPr>
          <w:lang w:eastAsia="en-AU"/>
        </w:rPr>
      </w:pPr>
      <w:r w:rsidRPr="004C3679">
        <w:rPr>
          <w:lang w:eastAsia="en-AU"/>
        </w:rPr>
        <w:t>This position has no Financial Delegation</w:t>
      </w:r>
      <w:bookmarkEnd w:id="7"/>
      <w:r w:rsidRPr="004C3679">
        <w:rPr>
          <w:lang w:eastAsia="en-AU"/>
        </w:rPr>
        <w:t xml:space="preserve">. </w:t>
      </w:r>
    </w:p>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8"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p w14:paraId="78E0F15F" w14:textId="77777777" w:rsidR="007B3338" w:rsidRDefault="007B3338" w:rsidP="007B3338">
      <w:pPr>
        <w:pStyle w:val="BodyText"/>
        <w:numPr>
          <w:ilvl w:val="0"/>
          <w:numId w:val="12"/>
        </w:numPr>
        <w:spacing w:after="240" w:line="240" w:lineRule="auto"/>
        <w:ind w:left="357" w:right="849" w:hanging="357"/>
        <w:jc w:val="both"/>
      </w:pPr>
      <w:bookmarkStart w:id="9" w:name="_Hlk98328366"/>
      <w:bookmarkEnd w:id="8"/>
      <w:r w:rsidRPr="005E308D">
        <w:t xml:space="preserve">In addition to the key responsibilities listed below, the role of the SMO is to provide such services as may be </w:t>
      </w:r>
      <w:r w:rsidRPr="005E308D">
        <w:rPr>
          <w:lang w:eastAsia="en-AU"/>
        </w:rPr>
        <w:t>reasonably</w:t>
      </w:r>
      <w:r w:rsidRPr="005E308D">
        <w:t xml:space="preserve"> directed by the Medical Director, Service Group Director and </w:t>
      </w:r>
      <w:r>
        <w:t>Chief Medical Officer</w:t>
      </w:r>
      <w:r w:rsidRPr="005E308D">
        <w:t xml:space="preserve"> to all facilities within Rural Hospitals Service Group.</w:t>
      </w:r>
    </w:p>
    <w:p w14:paraId="6898B2A2" w14:textId="77777777" w:rsidR="007B3338" w:rsidRPr="004C3679" w:rsidRDefault="007B3338" w:rsidP="007B3338">
      <w:pPr>
        <w:pStyle w:val="ListParagraph0"/>
        <w:numPr>
          <w:ilvl w:val="0"/>
          <w:numId w:val="0"/>
        </w:numPr>
        <w:ind w:right="849"/>
        <w:jc w:val="both"/>
        <w:rPr>
          <w:b/>
          <w:color w:val="003366"/>
          <w:szCs w:val="20"/>
        </w:rPr>
      </w:pPr>
      <w:bookmarkStart w:id="10" w:name="_Hlk98328397"/>
      <w:r w:rsidRPr="004C3679">
        <w:rPr>
          <w:b/>
          <w:color w:val="003366"/>
          <w:szCs w:val="20"/>
        </w:rPr>
        <w:t>As a Medical Expert you are responsible for:</w:t>
      </w:r>
    </w:p>
    <w:p w14:paraId="4509EB0F" w14:textId="77777777" w:rsidR="007B3338" w:rsidRPr="005E308D" w:rsidRDefault="007B3338" w:rsidP="007B3338">
      <w:pPr>
        <w:pStyle w:val="BodyText"/>
        <w:numPr>
          <w:ilvl w:val="0"/>
          <w:numId w:val="12"/>
        </w:numPr>
        <w:spacing w:line="240" w:lineRule="auto"/>
        <w:ind w:right="849"/>
        <w:jc w:val="both"/>
      </w:pPr>
      <w:r w:rsidRPr="005E308D">
        <w:t xml:space="preserve">The </w:t>
      </w:r>
      <w:r w:rsidRPr="005E308D">
        <w:rPr>
          <w:lang w:eastAsia="en-AU"/>
        </w:rPr>
        <w:t>maintenance</w:t>
      </w:r>
      <w:r w:rsidRPr="005E308D">
        <w:t xml:space="preserve"> of appropriate credentials and working within your awarded Scope of Clinical Practice (SoCP) as determined by the HHS as limited by the Clinical Service Capability Framework (CSCF) of individual facilities.</w:t>
      </w:r>
    </w:p>
    <w:p w14:paraId="288B821B" w14:textId="77777777" w:rsidR="007B3338" w:rsidRPr="005E308D" w:rsidRDefault="007B3338" w:rsidP="007B3338">
      <w:pPr>
        <w:pStyle w:val="BodyText"/>
        <w:numPr>
          <w:ilvl w:val="0"/>
          <w:numId w:val="12"/>
        </w:numPr>
        <w:spacing w:line="240" w:lineRule="auto"/>
        <w:ind w:right="849"/>
        <w:jc w:val="both"/>
      </w:pPr>
      <w:r w:rsidRPr="005E308D">
        <w:t>The provision of extensive and comprehensive experience, knowledge and skills within the discipline/department.</w:t>
      </w:r>
    </w:p>
    <w:p w14:paraId="0B0B0F9E" w14:textId="77777777" w:rsidR="007B3338" w:rsidRPr="005E308D" w:rsidRDefault="007B3338" w:rsidP="007B3338">
      <w:pPr>
        <w:pStyle w:val="BodyText"/>
        <w:numPr>
          <w:ilvl w:val="0"/>
          <w:numId w:val="12"/>
        </w:numPr>
        <w:spacing w:line="240" w:lineRule="auto"/>
        <w:ind w:right="849"/>
        <w:jc w:val="both"/>
      </w:pPr>
      <w:r w:rsidRPr="005E308D">
        <w:t xml:space="preserve">The </w:t>
      </w:r>
      <w:r w:rsidRPr="005E308D">
        <w:rPr>
          <w:lang w:eastAsia="en-AU"/>
        </w:rPr>
        <w:t>provision</w:t>
      </w:r>
      <w:r w:rsidRPr="005E308D">
        <w:t xml:space="preserve"> of expert consultation and advice directly to patients, as well as within the organisation as required.</w:t>
      </w:r>
    </w:p>
    <w:p w14:paraId="4262D0A7" w14:textId="77777777" w:rsidR="007B3338" w:rsidRDefault="007B3338" w:rsidP="007B3338">
      <w:pPr>
        <w:pStyle w:val="BodyText"/>
        <w:numPr>
          <w:ilvl w:val="0"/>
          <w:numId w:val="12"/>
        </w:numPr>
        <w:spacing w:after="240" w:line="240" w:lineRule="auto"/>
        <w:ind w:left="357" w:right="849" w:hanging="357"/>
        <w:jc w:val="both"/>
      </w:pPr>
      <w:r w:rsidRPr="005E308D">
        <w:t xml:space="preserve">The provision of expert </w:t>
      </w:r>
      <w:r w:rsidRPr="005E308D">
        <w:rPr>
          <w:lang w:eastAsia="en-AU"/>
        </w:rPr>
        <w:t>clinical</w:t>
      </w:r>
      <w:r w:rsidRPr="005E308D">
        <w:t xml:space="preserve"> service to patients of the THHS, as directed within the above SoCP.</w:t>
      </w:r>
    </w:p>
    <w:p w14:paraId="63EB6F9B" w14:textId="77777777" w:rsidR="007B3338" w:rsidRPr="004C3679" w:rsidRDefault="007B3338" w:rsidP="007B3338">
      <w:pPr>
        <w:pStyle w:val="ListParagraph0"/>
        <w:numPr>
          <w:ilvl w:val="0"/>
          <w:numId w:val="0"/>
        </w:numPr>
        <w:ind w:right="849"/>
        <w:jc w:val="both"/>
        <w:rPr>
          <w:b/>
          <w:color w:val="003366"/>
          <w:szCs w:val="20"/>
        </w:rPr>
      </w:pPr>
      <w:r w:rsidRPr="004C3679">
        <w:rPr>
          <w:b/>
          <w:color w:val="003366"/>
          <w:szCs w:val="20"/>
        </w:rPr>
        <w:t>As a Professional you are responsible for:</w:t>
      </w:r>
    </w:p>
    <w:p w14:paraId="5A257E73" w14:textId="77777777" w:rsidR="007B3338" w:rsidRPr="005E308D" w:rsidRDefault="007B3338" w:rsidP="007B3338">
      <w:pPr>
        <w:pStyle w:val="BodyText"/>
        <w:numPr>
          <w:ilvl w:val="0"/>
          <w:numId w:val="12"/>
        </w:numPr>
        <w:spacing w:line="240" w:lineRule="auto"/>
        <w:ind w:right="849"/>
        <w:jc w:val="both"/>
      </w:pPr>
      <w:r w:rsidRPr="005E308D">
        <w:t xml:space="preserve">Actively taking part in quality improvement, risk management, peer review and audit, and to demonstrate </w:t>
      </w:r>
      <w:r w:rsidRPr="005E308D">
        <w:rPr>
          <w:lang w:eastAsia="en-AU"/>
        </w:rPr>
        <w:t>positive</w:t>
      </w:r>
      <w:r w:rsidRPr="005E308D">
        <w:t xml:space="preserve"> change as a result.  Demonstrating understanding and commitment to the principles of hospital accreditation.</w:t>
      </w:r>
    </w:p>
    <w:p w14:paraId="6B70E641" w14:textId="77777777" w:rsidR="007B3338" w:rsidRPr="005E308D" w:rsidRDefault="007B3338" w:rsidP="007B3338">
      <w:pPr>
        <w:pStyle w:val="BodyText"/>
        <w:numPr>
          <w:ilvl w:val="0"/>
          <w:numId w:val="12"/>
        </w:numPr>
        <w:spacing w:line="240" w:lineRule="auto"/>
        <w:ind w:right="849"/>
        <w:jc w:val="both"/>
      </w:pPr>
      <w:r w:rsidRPr="005E308D">
        <w:rPr>
          <w:lang w:eastAsia="en-AU"/>
        </w:rPr>
        <w:t>Demonstrating</w:t>
      </w:r>
      <w:r w:rsidRPr="005E308D">
        <w:t xml:space="preserve"> ethical practice and decision making, in both clinical and non-clinical areas, including fulfilling all responsibilities of this role in accordance with the Queensland Public Service Code of Conduct. </w:t>
      </w:r>
    </w:p>
    <w:p w14:paraId="653E3BB4" w14:textId="77777777" w:rsidR="007B3338" w:rsidRPr="005E308D" w:rsidRDefault="007B3338" w:rsidP="007B3338">
      <w:pPr>
        <w:pStyle w:val="BodyText"/>
        <w:numPr>
          <w:ilvl w:val="0"/>
          <w:numId w:val="12"/>
        </w:numPr>
        <w:spacing w:line="240" w:lineRule="auto"/>
        <w:ind w:right="849"/>
        <w:jc w:val="both"/>
      </w:pPr>
      <w:r w:rsidRPr="005E308D">
        <w:rPr>
          <w:lang w:eastAsia="en-AU"/>
        </w:rPr>
        <w:t>Undertaking</w:t>
      </w:r>
      <w:r w:rsidRPr="005E308D">
        <w:t xml:space="preserve"> self-initiated reflective practice and maintenance of continuing professional development (CPD) to maintain professional competence and expertise.</w:t>
      </w:r>
    </w:p>
    <w:p w14:paraId="1F855E68" w14:textId="77777777" w:rsidR="007B3338" w:rsidRPr="005E308D" w:rsidRDefault="007B3338" w:rsidP="007B3338">
      <w:pPr>
        <w:pStyle w:val="BodyText"/>
        <w:numPr>
          <w:ilvl w:val="0"/>
          <w:numId w:val="12"/>
        </w:numPr>
        <w:spacing w:after="240" w:line="240" w:lineRule="auto"/>
        <w:ind w:left="357" w:right="849" w:hanging="357"/>
        <w:jc w:val="both"/>
      </w:pPr>
      <w:r w:rsidRPr="005E308D">
        <w:lastRenderedPageBreak/>
        <w:t xml:space="preserve">Ensuring high quality and timely clinical and non-clinical documentation and management of information, </w:t>
      </w:r>
      <w:r w:rsidRPr="005E308D">
        <w:rPr>
          <w:lang w:eastAsia="en-AU"/>
        </w:rPr>
        <w:t>whether</w:t>
      </w:r>
      <w:r w:rsidRPr="005E308D">
        <w:t xml:space="preserve"> paper-based or enabled by information technology.  This includes being responsible for the quality and timeliness of documentation of medical staff who report to this position, including junior doctors.</w:t>
      </w:r>
    </w:p>
    <w:p w14:paraId="5A83727A" w14:textId="77777777" w:rsidR="007B3338" w:rsidRPr="004C3679" w:rsidRDefault="007B3338" w:rsidP="007B3338">
      <w:pPr>
        <w:pStyle w:val="ListParagraph0"/>
        <w:numPr>
          <w:ilvl w:val="0"/>
          <w:numId w:val="0"/>
        </w:numPr>
        <w:ind w:right="849"/>
        <w:rPr>
          <w:b/>
          <w:color w:val="003366"/>
          <w:szCs w:val="20"/>
        </w:rPr>
      </w:pPr>
      <w:r w:rsidRPr="004C3679">
        <w:rPr>
          <w:b/>
          <w:color w:val="003366"/>
          <w:szCs w:val="20"/>
        </w:rPr>
        <w:t>As a Clinical Lead you are responsible for:</w:t>
      </w:r>
    </w:p>
    <w:p w14:paraId="7FCBA315" w14:textId="77777777" w:rsidR="007B3338" w:rsidRPr="005E308D" w:rsidRDefault="007B3338" w:rsidP="007B3338">
      <w:pPr>
        <w:pStyle w:val="BodyText"/>
        <w:numPr>
          <w:ilvl w:val="0"/>
          <w:numId w:val="12"/>
        </w:numPr>
        <w:spacing w:line="240" w:lineRule="auto"/>
        <w:ind w:right="849"/>
      </w:pPr>
      <w:r w:rsidRPr="005E308D">
        <w:t>Demonstrating professional leadership, support and medical input into the associated medical, surgical, nursing and allied health programmes, and providing clinical governance and supervision of staff reporting to this position, including junior medical staff.</w:t>
      </w:r>
    </w:p>
    <w:p w14:paraId="423C6AFE" w14:textId="77777777" w:rsidR="007B3338" w:rsidRPr="005E308D" w:rsidRDefault="007B3338" w:rsidP="007B3338">
      <w:pPr>
        <w:pStyle w:val="BodyText"/>
        <w:numPr>
          <w:ilvl w:val="0"/>
          <w:numId w:val="12"/>
        </w:numPr>
        <w:spacing w:line="240" w:lineRule="auto"/>
        <w:ind w:right="849"/>
      </w:pPr>
      <w:r w:rsidRPr="005E308D">
        <w:t xml:space="preserve">Being </w:t>
      </w:r>
      <w:r w:rsidRPr="005E308D">
        <w:rPr>
          <w:lang w:eastAsia="en-AU"/>
        </w:rPr>
        <w:t>aware</w:t>
      </w:r>
      <w:r w:rsidRPr="005E308D">
        <w:t xml:space="preserve"> of, and complying with, legislation that applies to the area, as well as contributing to, and following QH, THHS and local policies and procedures as published.</w:t>
      </w:r>
    </w:p>
    <w:p w14:paraId="22E1709C" w14:textId="77777777" w:rsidR="007B3338" w:rsidRPr="005E308D" w:rsidRDefault="007B3338" w:rsidP="007B3338">
      <w:pPr>
        <w:pStyle w:val="BodyText"/>
        <w:numPr>
          <w:ilvl w:val="0"/>
          <w:numId w:val="12"/>
        </w:numPr>
        <w:spacing w:line="240" w:lineRule="auto"/>
        <w:ind w:right="849"/>
      </w:pPr>
      <w:r w:rsidRPr="005E308D">
        <w:rPr>
          <w:lang w:eastAsia="en-AU"/>
        </w:rPr>
        <w:t>Management</w:t>
      </w:r>
      <w:r w:rsidRPr="005E308D">
        <w:t xml:space="preserve"> of resources available to you, including value management to reduce waste, and ensure that the resources available are used to deliver the greatest good to the greatest number of patients/clients.</w:t>
      </w:r>
    </w:p>
    <w:p w14:paraId="3DA9DE73" w14:textId="77777777" w:rsidR="007B3338" w:rsidRPr="005E308D" w:rsidRDefault="007B3338" w:rsidP="007B3338">
      <w:pPr>
        <w:pStyle w:val="BodyText"/>
        <w:numPr>
          <w:ilvl w:val="0"/>
          <w:numId w:val="12"/>
        </w:numPr>
        <w:spacing w:after="240" w:line="240" w:lineRule="auto"/>
        <w:ind w:left="357" w:right="849" w:hanging="357"/>
      </w:pPr>
      <w:r w:rsidRPr="005E308D">
        <w:t xml:space="preserve">To </w:t>
      </w:r>
      <w:r w:rsidRPr="005E308D">
        <w:rPr>
          <w:lang w:eastAsia="en-AU"/>
        </w:rPr>
        <w:t>advise</w:t>
      </w:r>
      <w:r w:rsidRPr="005E308D">
        <w:t xml:space="preserve"> the Executive Director of Medical Services, Service Group Director and Medical Director Service Group on issues relating to the facility and THHS.</w:t>
      </w:r>
    </w:p>
    <w:p w14:paraId="38C7AA15" w14:textId="77777777" w:rsidR="007B3338" w:rsidRPr="004C3679" w:rsidRDefault="007B3338" w:rsidP="007B3338">
      <w:pPr>
        <w:pStyle w:val="ListParagraph0"/>
        <w:numPr>
          <w:ilvl w:val="0"/>
          <w:numId w:val="0"/>
        </w:numPr>
        <w:ind w:right="565"/>
        <w:rPr>
          <w:b/>
          <w:color w:val="003366"/>
          <w:szCs w:val="20"/>
        </w:rPr>
      </w:pPr>
      <w:r w:rsidRPr="004C3679">
        <w:rPr>
          <w:b/>
          <w:color w:val="003366"/>
          <w:szCs w:val="20"/>
        </w:rPr>
        <w:t>As a Scholar you are responsible for:</w:t>
      </w:r>
    </w:p>
    <w:p w14:paraId="5ED4CC55" w14:textId="77777777" w:rsidR="007B3338" w:rsidRPr="005E308D" w:rsidRDefault="007B3338" w:rsidP="007B3338">
      <w:pPr>
        <w:pStyle w:val="BodyText"/>
        <w:numPr>
          <w:ilvl w:val="0"/>
          <w:numId w:val="12"/>
        </w:numPr>
        <w:spacing w:line="240" w:lineRule="auto"/>
        <w:ind w:right="849"/>
      </w:pPr>
      <w:r w:rsidRPr="005E308D">
        <w:t xml:space="preserve">Supporting and/or undertaking research within your area of practice, including the obtaining of research </w:t>
      </w:r>
      <w:r w:rsidRPr="005E308D">
        <w:rPr>
          <w:lang w:eastAsia="en-AU"/>
        </w:rPr>
        <w:t>funding</w:t>
      </w:r>
      <w:r w:rsidRPr="005E308D">
        <w:t xml:space="preserve"> where possible.  (Within the Ethics framework as outlined above).</w:t>
      </w:r>
    </w:p>
    <w:p w14:paraId="24AFB784" w14:textId="77777777" w:rsidR="007B3338" w:rsidRDefault="007B3338" w:rsidP="007B3338">
      <w:pPr>
        <w:pStyle w:val="BodyText"/>
        <w:numPr>
          <w:ilvl w:val="0"/>
          <w:numId w:val="12"/>
        </w:numPr>
        <w:spacing w:after="240" w:line="240" w:lineRule="auto"/>
        <w:ind w:left="357" w:right="849" w:hanging="357"/>
      </w:pPr>
      <w:r w:rsidRPr="005E308D">
        <w:t xml:space="preserve">Actively supporting and undertaking teaching of undergraduate and post-graduate clinical staff, including </w:t>
      </w:r>
      <w:r w:rsidRPr="005E308D">
        <w:rPr>
          <w:lang w:eastAsia="en-AU"/>
        </w:rPr>
        <w:t>medical</w:t>
      </w:r>
      <w:r w:rsidRPr="005E308D">
        <w:t xml:space="preserve"> and non-medical clinicians, as well as non-clinical staff as required.</w:t>
      </w:r>
    </w:p>
    <w:p w14:paraId="0420063E" w14:textId="77777777" w:rsidR="007B3338" w:rsidRPr="004C3679" w:rsidRDefault="007B3338" w:rsidP="007B3338">
      <w:pPr>
        <w:pStyle w:val="ListParagraph0"/>
        <w:numPr>
          <w:ilvl w:val="0"/>
          <w:numId w:val="0"/>
        </w:numPr>
        <w:ind w:right="849"/>
        <w:rPr>
          <w:b/>
          <w:color w:val="003366"/>
          <w:szCs w:val="20"/>
        </w:rPr>
      </w:pPr>
      <w:r w:rsidRPr="004C3679">
        <w:rPr>
          <w:b/>
          <w:color w:val="003366"/>
          <w:szCs w:val="20"/>
        </w:rPr>
        <w:t>As a Collaborator you are responsible for:</w:t>
      </w:r>
    </w:p>
    <w:p w14:paraId="5B9C3058" w14:textId="77777777" w:rsidR="007B3338" w:rsidRPr="005E308D" w:rsidRDefault="007B3338" w:rsidP="007B3338">
      <w:pPr>
        <w:pStyle w:val="BodyText"/>
        <w:numPr>
          <w:ilvl w:val="0"/>
          <w:numId w:val="12"/>
        </w:numPr>
        <w:spacing w:after="240" w:line="240" w:lineRule="auto"/>
        <w:ind w:left="357" w:right="849" w:hanging="357"/>
      </w:pPr>
      <w:r w:rsidRPr="005E308D">
        <w:t xml:space="preserve">Supporting and working harmoniously with your immediate medical team and multidisciplinary members of your </w:t>
      </w:r>
      <w:r w:rsidRPr="005E308D">
        <w:rPr>
          <w:lang w:eastAsia="en-AU"/>
        </w:rPr>
        <w:t>workplace</w:t>
      </w:r>
      <w:r w:rsidRPr="005E308D">
        <w:t>, other departments / facilities within THHS and external stakeholders.</w:t>
      </w:r>
    </w:p>
    <w:p w14:paraId="11F7862D" w14:textId="77777777" w:rsidR="007B3338" w:rsidRPr="004C3679" w:rsidRDefault="007B3338" w:rsidP="007B3338">
      <w:pPr>
        <w:pStyle w:val="ListParagraph0"/>
        <w:numPr>
          <w:ilvl w:val="0"/>
          <w:numId w:val="0"/>
        </w:numPr>
        <w:ind w:right="849"/>
        <w:rPr>
          <w:b/>
          <w:color w:val="003366"/>
          <w:szCs w:val="20"/>
        </w:rPr>
      </w:pPr>
      <w:r w:rsidRPr="004C3679">
        <w:rPr>
          <w:b/>
          <w:color w:val="003366"/>
          <w:szCs w:val="20"/>
        </w:rPr>
        <w:t>As a Communicator you are responsible for:</w:t>
      </w:r>
    </w:p>
    <w:p w14:paraId="5FE31688" w14:textId="77777777" w:rsidR="007B3338" w:rsidRPr="005E308D" w:rsidRDefault="007B3338" w:rsidP="007B3338">
      <w:pPr>
        <w:pStyle w:val="BodyText"/>
        <w:numPr>
          <w:ilvl w:val="0"/>
          <w:numId w:val="12"/>
        </w:numPr>
        <w:spacing w:line="240" w:lineRule="auto"/>
        <w:ind w:right="849"/>
      </w:pPr>
      <w:r w:rsidRPr="005E308D">
        <w:rPr>
          <w:lang w:eastAsia="en-AU"/>
        </w:rPr>
        <w:t>Developing</w:t>
      </w:r>
      <w:r w:rsidRPr="005E308D">
        <w:t>, displaying and utilising high level communication skills in all modalities including:</w:t>
      </w:r>
    </w:p>
    <w:p w14:paraId="25E4435D" w14:textId="77777777" w:rsidR="007B3338" w:rsidRPr="005E308D" w:rsidRDefault="007B3338" w:rsidP="007B3338">
      <w:pPr>
        <w:pStyle w:val="BodyText"/>
        <w:numPr>
          <w:ilvl w:val="0"/>
          <w:numId w:val="12"/>
        </w:numPr>
        <w:spacing w:line="240" w:lineRule="auto"/>
        <w:ind w:right="849"/>
      </w:pPr>
      <w:r w:rsidRPr="005E308D">
        <w:rPr>
          <w:lang w:eastAsia="en-AU"/>
        </w:rPr>
        <w:t>Professional</w:t>
      </w:r>
      <w:r w:rsidRPr="005E308D">
        <w:t xml:space="preserve"> quality written communication in all documentation, including the medical record, emails and formal letters and reports.</w:t>
      </w:r>
    </w:p>
    <w:p w14:paraId="40F9061A" w14:textId="77777777" w:rsidR="007B3338" w:rsidRPr="005E308D" w:rsidRDefault="007B3338" w:rsidP="007B3338">
      <w:pPr>
        <w:pStyle w:val="BodyText"/>
        <w:numPr>
          <w:ilvl w:val="0"/>
          <w:numId w:val="12"/>
        </w:numPr>
        <w:spacing w:line="240" w:lineRule="auto"/>
        <w:ind w:right="849"/>
      </w:pPr>
      <w:r w:rsidRPr="005E308D">
        <w:t>Audio-visual communication, from formal presentations to informal conversations.</w:t>
      </w:r>
    </w:p>
    <w:p w14:paraId="2C6BD994" w14:textId="77777777" w:rsidR="007B3338" w:rsidRPr="005E308D" w:rsidRDefault="007B3338" w:rsidP="007B3338">
      <w:pPr>
        <w:pStyle w:val="BodyText"/>
        <w:numPr>
          <w:ilvl w:val="0"/>
          <w:numId w:val="12"/>
        </w:numPr>
        <w:spacing w:line="240" w:lineRule="auto"/>
        <w:ind w:right="849"/>
      </w:pPr>
      <w:r w:rsidRPr="005E308D">
        <w:t>Non-verbal communication, including body language and other forms of communication.</w:t>
      </w:r>
    </w:p>
    <w:p w14:paraId="4086DD34" w14:textId="77777777" w:rsidR="007B3338" w:rsidRPr="005E308D" w:rsidRDefault="007B3338" w:rsidP="007B3338">
      <w:pPr>
        <w:pStyle w:val="BodyText"/>
        <w:numPr>
          <w:ilvl w:val="0"/>
          <w:numId w:val="12"/>
        </w:numPr>
        <w:spacing w:after="240" w:line="240" w:lineRule="auto"/>
        <w:ind w:left="357" w:right="849" w:hanging="357"/>
      </w:pPr>
      <w:r w:rsidRPr="005E308D">
        <w:t xml:space="preserve">Developing and maintaining effective working relationships and empathy in dealings with colleagues and </w:t>
      </w:r>
      <w:r w:rsidRPr="005E308D">
        <w:rPr>
          <w:lang w:eastAsia="en-AU"/>
        </w:rPr>
        <w:t>patients</w:t>
      </w:r>
      <w:r w:rsidRPr="005E308D">
        <w:t>/clients, as well as external stakeholders.</w:t>
      </w:r>
    </w:p>
    <w:p w14:paraId="10E0F6F3" w14:textId="77777777" w:rsidR="007B3338" w:rsidRPr="004C3679" w:rsidRDefault="007B3338" w:rsidP="007B3338">
      <w:pPr>
        <w:pStyle w:val="ListParagraph0"/>
        <w:numPr>
          <w:ilvl w:val="0"/>
          <w:numId w:val="0"/>
        </w:numPr>
        <w:ind w:right="849"/>
        <w:rPr>
          <w:b/>
          <w:color w:val="003366"/>
          <w:szCs w:val="20"/>
        </w:rPr>
      </w:pPr>
      <w:r w:rsidRPr="004C3679">
        <w:rPr>
          <w:b/>
          <w:color w:val="003366"/>
          <w:szCs w:val="20"/>
        </w:rPr>
        <w:t>As a Health Advocate you are responsible for:</w:t>
      </w:r>
    </w:p>
    <w:p w14:paraId="216E80B3" w14:textId="77777777" w:rsidR="007B3338" w:rsidRPr="005E308D" w:rsidRDefault="007B3338" w:rsidP="007B3338">
      <w:pPr>
        <w:pStyle w:val="BodyText"/>
        <w:numPr>
          <w:ilvl w:val="0"/>
          <w:numId w:val="12"/>
        </w:numPr>
        <w:spacing w:line="240" w:lineRule="auto"/>
        <w:ind w:right="849"/>
      </w:pPr>
      <w:r w:rsidRPr="005E308D">
        <w:t xml:space="preserve">Assisting to identify future trends and contributing to/undertaking planning for the health service.  Ensure that the </w:t>
      </w:r>
      <w:r w:rsidRPr="005E308D">
        <w:rPr>
          <w:lang w:eastAsia="en-AU"/>
        </w:rPr>
        <w:t>hospital</w:t>
      </w:r>
      <w:r w:rsidRPr="005E308D">
        <w:t xml:space="preserve"> direction, policies and procedures for the speciality comply with the THHS strategic plans.</w:t>
      </w:r>
    </w:p>
    <w:p w14:paraId="274C2440" w14:textId="77777777" w:rsidR="007B3338" w:rsidRPr="005E308D" w:rsidRDefault="007B3338" w:rsidP="007B3338">
      <w:pPr>
        <w:pStyle w:val="BodyText"/>
        <w:numPr>
          <w:ilvl w:val="0"/>
          <w:numId w:val="12"/>
        </w:numPr>
        <w:spacing w:line="240" w:lineRule="auto"/>
        <w:ind w:right="849"/>
      </w:pPr>
      <w:r w:rsidRPr="005E308D">
        <w:t>Actively engaging in technology assessment and systems improvement initiatives within your SoCP.</w:t>
      </w:r>
    </w:p>
    <w:p w14:paraId="2F178132" w14:textId="77777777" w:rsidR="007B3338" w:rsidRPr="005E308D" w:rsidRDefault="007B3338" w:rsidP="007B3338">
      <w:pPr>
        <w:pStyle w:val="BodyText"/>
        <w:numPr>
          <w:ilvl w:val="0"/>
          <w:numId w:val="12"/>
        </w:numPr>
        <w:spacing w:line="240" w:lineRule="auto"/>
        <w:ind w:right="565"/>
      </w:pPr>
      <w:r w:rsidRPr="005E308D">
        <w:t>Being a patient advocate and engaging positively with patients and their carers.</w:t>
      </w:r>
    </w:p>
    <w:p w14:paraId="73294C56" w14:textId="45A0B225" w:rsidR="00382B6C" w:rsidRDefault="007B3338" w:rsidP="007B3338">
      <w:pPr>
        <w:pStyle w:val="BodyText"/>
        <w:numPr>
          <w:ilvl w:val="0"/>
          <w:numId w:val="12"/>
        </w:numPr>
        <w:spacing w:line="240" w:lineRule="auto"/>
        <w:ind w:right="565"/>
      </w:pPr>
      <w:r w:rsidRPr="005E308D">
        <w:rPr>
          <w:lang w:eastAsia="en-AU"/>
        </w:rPr>
        <w:t>Provide</w:t>
      </w:r>
      <w:r w:rsidRPr="005E308D">
        <w:t xml:space="preserve"> information, strategies and expertise in the areas of speciality in contribution to the THHS and intra-regional development of these services.</w:t>
      </w:r>
      <w:bookmarkEnd w:id="9"/>
      <w:bookmarkEnd w:id="10"/>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0970A41F" w14:textId="40DF1EB7" w:rsidR="00AA751D" w:rsidRPr="00AA751D" w:rsidRDefault="005811D1" w:rsidP="00D04923">
      <w:pPr>
        <w:pStyle w:val="BodyText"/>
        <w:numPr>
          <w:ilvl w:val="0"/>
          <w:numId w:val="12"/>
        </w:numPr>
        <w:spacing w:line="240" w:lineRule="auto"/>
        <w:rPr>
          <w:lang w:eastAsia="en-AU"/>
        </w:rPr>
      </w:pPr>
      <w:r w:rsidRPr="005811D1">
        <w:rPr>
          <w:lang w:eastAsia="en-AU"/>
        </w:rPr>
        <w:t>Implement and monitor the organisation's quality standards, occupational health and safety policies, procedures and programs and provide clinical governance in the relevant work area</w:t>
      </w:r>
      <w:r>
        <w:rPr>
          <w:lang w:eastAsia="en-AU"/>
        </w:rPr>
        <w:t>.</w:t>
      </w:r>
      <w:r w:rsidRPr="005811D1">
        <w:rPr>
          <w:lang w:eastAsia="en-AU"/>
        </w:rPr>
        <w:t xml:space="preserve"> </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lastRenderedPageBreak/>
        <w:t>Some roles within Queensland Health are designated as Vaccination Preventable Disease (VPD) risk roles.</w:t>
      </w:r>
    </w:p>
    <w:p w14:paraId="737DAFA5" w14:textId="4AAA3430"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1B04ED9A" w14:textId="53F2B17E"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7E3951C6" w:rsidR="008C110A" w:rsidRDefault="008C110A" w:rsidP="009E376F">
      <w:pPr>
        <w:spacing w:before="120" w:after="120"/>
        <w:rPr>
          <w:i/>
          <w:iCs/>
        </w:rPr>
      </w:pPr>
      <w:bookmarkStart w:id="11"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11"/>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12" w:name="_Hlk78206119"/>
      <w:bookmarkStart w:id="13" w:name="_Hlk87019167"/>
      <w:r w:rsidRPr="00D04923">
        <w:rPr>
          <w:sz w:val="24"/>
          <w:szCs w:val="24"/>
        </w:rPr>
        <w:t>Mandatory qualifications/ professional registration/ other requirements</w:t>
      </w:r>
    </w:p>
    <w:p w14:paraId="7EEA09F4" w14:textId="77777777" w:rsidR="007B3338" w:rsidRPr="004C3679" w:rsidRDefault="007B3338" w:rsidP="007B3338">
      <w:pPr>
        <w:numPr>
          <w:ilvl w:val="0"/>
          <w:numId w:val="14"/>
        </w:numPr>
        <w:spacing w:before="120" w:after="120"/>
        <w:ind w:right="707"/>
        <w:rPr>
          <w:rFonts w:cs="Arial"/>
          <w:noProof/>
          <w:color w:val="000000"/>
          <w:szCs w:val="20"/>
        </w:rPr>
      </w:pPr>
      <w:bookmarkStart w:id="14" w:name="_Hlk98328504"/>
      <w:bookmarkStart w:id="15" w:name="_Hlk55994313"/>
      <w:r w:rsidRPr="004C3679">
        <w:rPr>
          <w:rFonts w:cs="Arial"/>
          <w:noProof/>
          <w:color w:val="000000"/>
          <w:szCs w:val="20"/>
        </w:rPr>
        <w:t>Qualified as a medical practitioner, qualifications in speciality areas and current registration and/or eligible for registration with the Medical Board of Australia.</w:t>
      </w:r>
    </w:p>
    <w:p w14:paraId="1B93B84D" w14:textId="48CF0C3D" w:rsidR="00451D49" w:rsidRPr="00451D49" w:rsidRDefault="00451D49" w:rsidP="00451D49">
      <w:pPr>
        <w:numPr>
          <w:ilvl w:val="0"/>
          <w:numId w:val="14"/>
        </w:numPr>
        <w:spacing w:before="120" w:after="120"/>
        <w:ind w:right="707"/>
        <w:rPr>
          <w:rFonts w:cs="Arial"/>
          <w:noProof/>
          <w:color w:val="000000"/>
          <w:szCs w:val="20"/>
        </w:rPr>
      </w:pPr>
      <w:r w:rsidRPr="00451D49">
        <w:rPr>
          <w:rFonts w:cs="Arial"/>
          <w:noProof/>
          <w:color w:val="000000"/>
          <w:szCs w:val="20"/>
        </w:rPr>
        <w:t xml:space="preserve">A Fellowed and experienced Rural Generalist </w:t>
      </w:r>
      <w:r>
        <w:rPr>
          <w:rFonts w:cs="Arial"/>
          <w:noProof/>
          <w:color w:val="000000"/>
          <w:szCs w:val="20"/>
        </w:rPr>
        <w:t>is highly desirable</w:t>
      </w:r>
      <w:r w:rsidRPr="00451D49">
        <w:rPr>
          <w:rFonts w:cs="Arial"/>
          <w:noProof/>
          <w:color w:val="000000"/>
          <w:szCs w:val="20"/>
        </w:rPr>
        <w:t xml:space="preserve"> – FACRRM or FRACGP with appropriate rural/remote experience.</w:t>
      </w:r>
    </w:p>
    <w:p w14:paraId="1855BA54" w14:textId="29782219" w:rsidR="00451D49" w:rsidRPr="00451D49" w:rsidRDefault="00451D49" w:rsidP="00451D49">
      <w:pPr>
        <w:numPr>
          <w:ilvl w:val="0"/>
          <w:numId w:val="14"/>
        </w:numPr>
        <w:spacing w:before="120" w:after="120"/>
        <w:ind w:right="707"/>
        <w:rPr>
          <w:rFonts w:cs="Arial"/>
          <w:noProof/>
          <w:color w:val="000000"/>
          <w:szCs w:val="20"/>
        </w:rPr>
      </w:pPr>
      <w:r w:rsidRPr="00451D49">
        <w:rPr>
          <w:rFonts w:cs="Arial"/>
          <w:noProof/>
          <w:color w:val="000000"/>
          <w:szCs w:val="20"/>
        </w:rPr>
        <w:t xml:space="preserve">Demonstrated capability and experience in at least one of the following Advanced Skills disciplines is highly desirable: </w:t>
      </w:r>
      <w:r>
        <w:rPr>
          <w:rFonts w:cs="Arial"/>
          <w:noProof/>
          <w:color w:val="000000"/>
          <w:szCs w:val="20"/>
        </w:rPr>
        <w:t xml:space="preserve">Emergency, Anaesthetics, Obstetrics, Aboriginal and Torres Strait Islander Health, Remote Medicine, Internal Medicine, Paediatrics or Palliative Care. </w:t>
      </w:r>
    </w:p>
    <w:p w14:paraId="7CA1350A" w14:textId="77777777" w:rsidR="007B3338" w:rsidRPr="004C3679" w:rsidRDefault="007B3338" w:rsidP="007B3338">
      <w:pPr>
        <w:numPr>
          <w:ilvl w:val="0"/>
          <w:numId w:val="14"/>
        </w:numPr>
        <w:spacing w:before="120" w:after="120"/>
        <w:ind w:right="707"/>
        <w:rPr>
          <w:rFonts w:cs="Arial"/>
          <w:noProof/>
          <w:color w:val="000000"/>
          <w:szCs w:val="20"/>
        </w:rPr>
      </w:pPr>
      <w:r w:rsidRPr="004C3679">
        <w:rPr>
          <w:rFonts w:cs="Arial"/>
          <w:noProof/>
          <w:color w:val="000000"/>
          <w:szCs w:val="20"/>
        </w:rPr>
        <w:t>Appointment to this position requires proof of qualification and registration or membership with the appropriate registration authority or association.  Certified copies of the required information must be provided to the appropriate supervisor/manager prior to commencement of clinical duties.</w:t>
      </w:r>
    </w:p>
    <w:p w14:paraId="6E561942" w14:textId="77777777" w:rsidR="007B3338" w:rsidRPr="004C3679" w:rsidRDefault="007B3338" w:rsidP="007B3338">
      <w:pPr>
        <w:numPr>
          <w:ilvl w:val="0"/>
          <w:numId w:val="14"/>
        </w:numPr>
        <w:spacing w:before="120" w:after="120"/>
        <w:ind w:right="707"/>
        <w:rPr>
          <w:rFonts w:cs="Arial"/>
          <w:noProof/>
          <w:color w:val="000000"/>
          <w:szCs w:val="20"/>
        </w:rPr>
      </w:pPr>
      <w:r w:rsidRPr="004C3679">
        <w:rPr>
          <w:rFonts w:cs="Arial"/>
          <w:noProof/>
          <w:color w:val="000000"/>
          <w:szCs w:val="20"/>
        </w:rPr>
        <w:t xml:space="preserve">All applicants must be awarded SoCP by the THHS Credentialing and SoCP committee.  All appointments are subject to maintenance of SoCP within the CSCF for the facilities in which clinical work is to be undertaken.  </w:t>
      </w:r>
    </w:p>
    <w:p w14:paraId="7813F295" w14:textId="77777777" w:rsidR="007B3338" w:rsidRPr="004C3679" w:rsidRDefault="007B3338" w:rsidP="007B3338">
      <w:pPr>
        <w:numPr>
          <w:ilvl w:val="0"/>
          <w:numId w:val="14"/>
        </w:numPr>
        <w:spacing w:before="120" w:after="120"/>
        <w:ind w:right="707"/>
        <w:rPr>
          <w:rFonts w:cs="Arial"/>
          <w:noProof/>
          <w:color w:val="000000"/>
          <w:szCs w:val="20"/>
        </w:rPr>
      </w:pPr>
      <w:r w:rsidRPr="00944255">
        <w:rPr>
          <w:rFonts w:cs="Arial"/>
          <w:b/>
          <w:bCs/>
          <w:noProof/>
          <w:color w:val="000000"/>
          <w:szCs w:val="20"/>
        </w:rPr>
        <w:t>Drivers Licence:</w:t>
      </w:r>
      <w:r>
        <w:rPr>
          <w:rFonts w:cs="Arial"/>
          <w:noProof/>
          <w:color w:val="000000"/>
          <w:szCs w:val="20"/>
        </w:rPr>
        <w:t xml:space="preserve"> </w:t>
      </w:r>
      <w:r w:rsidRPr="004C3679">
        <w:rPr>
          <w:rFonts w:cs="Arial"/>
          <w:noProof/>
          <w:color w:val="000000"/>
          <w:szCs w:val="20"/>
        </w:rPr>
        <w:t>This position requires the incumbent to operate a class C motor vehicle and an appropriate licence endorsement to operate this vehicle is required.  Proof of this endorsement must be provided prior to the commencement of duty.</w:t>
      </w:r>
    </w:p>
    <w:p w14:paraId="304E36D7" w14:textId="77777777" w:rsidR="007B3338" w:rsidRPr="00721EFF" w:rsidRDefault="007B3338" w:rsidP="007B3338">
      <w:pPr>
        <w:numPr>
          <w:ilvl w:val="0"/>
          <w:numId w:val="14"/>
        </w:numPr>
        <w:spacing w:before="120" w:after="120"/>
        <w:ind w:right="707"/>
        <w:rPr>
          <w:rFonts w:cs="Arial"/>
          <w:noProof/>
          <w:color w:val="000000"/>
          <w:szCs w:val="20"/>
        </w:rPr>
      </w:pPr>
      <w:r w:rsidRPr="00721EFF">
        <w:rPr>
          <w:rFonts w:cs="Arial"/>
          <w:noProof/>
          <w:color w:val="000000"/>
          <w:szCs w:val="20"/>
        </w:rPr>
        <w:t>This position may require the incumbent to work at other facilities within the THHS</w:t>
      </w:r>
      <w:r>
        <w:rPr>
          <w:rFonts w:cs="Arial"/>
          <w:noProof/>
          <w:color w:val="000000"/>
          <w:szCs w:val="20"/>
        </w:rPr>
        <w:t xml:space="preserve">, most notably to cover emergent or planned leave or other vacancies at other rural hospital sites. </w:t>
      </w:r>
    </w:p>
    <w:bookmarkEnd w:id="14"/>
    <w:p w14:paraId="726E504F" w14:textId="77777777" w:rsidR="00AA74A3" w:rsidRPr="00DA2CB0" w:rsidRDefault="00AA74A3" w:rsidP="00AA74A3">
      <w:pPr>
        <w:numPr>
          <w:ilvl w:val="0"/>
          <w:numId w:val="14"/>
        </w:numPr>
        <w:spacing w:before="120" w:after="120"/>
        <w:rPr>
          <w:rFonts w:cs="Arial"/>
          <w:noProof/>
          <w:color w:val="000000"/>
          <w:szCs w:val="20"/>
        </w:rPr>
      </w:pPr>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bookmarkEnd w:id="12"/>
    <w:bookmarkEnd w:id="13"/>
    <w:bookmarkEnd w:id="15"/>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5FEC407A" w14:textId="77777777" w:rsidR="007B3338" w:rsidRPr="000E76D1" w:rsidRDefault="007B3338" w:rsidP="007B3338">
      <w:pPr>
        <w:pStyle w:val="BodyText"/>
        <w:numPr>
          <w:ilvl w:val="0"/>
          <w:numId w:val="14"/>
        </w:numPr>
        <w:spacing w:line="240" w:lineRule="auto"/>
        <w:ind w:left="357" w:right="707" w:hanging="357"/>
      </w:pPr>
      <w:r w:rsidRPr="000E76D1">
        <w:t>Competence and capability in primary rural medical practice (particularly hospital-based practice) with certification of at least one (secondary) advanced rural skill specified above.</w:t>
      </w:r>
    </w:p>
    <w:p w14:paraId="0572800F" w14:textId="5B746056" w:rsidR="007B3338" w:rsidRPr="000E76D1" w:rsidRDefault="007B3338" w:rsidP="007B3338">
      <w:pPr>
        <w:pStyle w:val="BodyText"/>
        <w:numPr>
          <w:ilvl w:val="0"/>
          <w:numId w:val="14"/>
        </w:numPr>
        <w:spacing w:line="240" w:lineRule="auto"/>
        <w:ind w:right="707"/>
      </w:pPr>
      <w:r w:rsidRPr="000E76D1">
        <w:t>Ability to function in a multidisciplinary team</w:t>
      </w:r>
      <w:r w:rsidR="00194AC0">
        <w:t>, contributing to</w:t>
      </w:r>
      <w:r w:rsidRPr="000E76D1">
        <w:t xml:space="preserve"> leadership</w:t>
      </w:r>
      <w:r w:rsidR="00194AC0">
        <w:t xml:space="preserve"> and clinical governance</w:t>
      </w:r>
      <w:r w:rsidRPr="000E76D1">
        <w:t>.</w:t>
      </w:r>
    </w:p>
    <w:p w14:paraId="14A77CF8" w14:textId="77777777" w:rsidR="007B3338" w:rsidRPr="000E76D1" w:rsidRDefault="007B3338" w:rsidP="007B3338">
      <w:pPr>
        <w:pStyle w:val="BodyText"/>
        <w:numPr>
          <w:ilvl w:val="0"/>
          <w:numId w:val="14"/>
        </w:numPr>
        <w:spacing w:line="240" w:lineRule="auto"/>
        <w:ind w:right="707"/>
      </w:pPr>
      <w:r w:rsidRPr="000E76D1">
        <w:t>Experience in education and training of medical staff and/or medical students.</w:t>
      </w:r>
    </w:p>
    <w:p w14:paraId="7871EE70" w14:textId="77777777" w:rsidR="007B3338" w:rsidRPr="000E76D1" w:rsidRDefault="007B3338" w:rsidP="007B3338">
      <w:pPr>
        <w:pStyle w:val="BodyText"/>
        <w:numPr>
          <w:ilvl w:val="0"/>
          <w:numId w:val="14"/>
        </w:numPr>
        <w:spacing w:line="240" w:lineRule="auto"/>
        <w:ind w:right="707"/>
      </w:pPr>
      <w:r w:rsidRPr="000E76D1">
        <w:lastRenderedPageBreak/>
        <w:t>High level of communication skills in clinical practice and corporate functions.</w:t>
      </w:r>
    </w:p>
    <w:p w14:paraId="45D52F4E" w14:textId="77777777" w:rsidR="007B3338" w:rsidRPr="005811D1" w:rsidRDefault="007B3338" w:rsidP="007B3338">
      <w:pPr>
        <w:pStyle w:val="BodyText"/>
        <w:numPr>
          <w:ilvl w:val="0"/>
          <w:numId w:val="14"/>
        </w:numPr>
        <w:spacing w:after="0" w:line="240" w:lineRule="auto"/>
        <w:ind w:left="357" w:right="565" w:hanging="357"/>
      </w:pPr>
      <w:r w:rsidRPr="000E76D1">
        <w:t>Commitment to improving standards and quality of health care and patient safety within the hospital and community.</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3CDDE08A" w14:textId="7D850507" w:rsidR="004B00B7" w:rsidRPr="009A606B" w:rsidRDefault="004B00B7" w:rsidP="00155828">
      <w:pPr>
        <w:pStyle w:val="Heading1"/>
        <w:spacing w:before="240" w:after="120"/>
        <w:rPr>
          <w:b w:val="0"/>
          <w:bCs/>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06865D60" w14:textId="77777777" w:rsidR="004B00B7" w:rsidRDefault="004B00B7" w:rsidP="00D04923">
      <w:pPr>
        <w:spacing w:before="120" w:after="120"/>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55DCA8CB" w14:textId="74DE2DA6" w:rsidR="00624C97" w:rsidRDefault="00624C97" w:rsidP="00CC6337">
      <w:pPr>
        <w:pStyle w:val="Heading1"/>
        <w:spacing w:before="240" w:after="120"/>
        <w:rPr>
          <w:sz w:val="24"/>
          <w:szCs w:val="24"/>
        </w:rPr>
      </w:pPr>
      <w:r w:rsidRPr="00D04923">
        <w:rPr>
          <w:sz w:val="24"/>
          <w:szCs w:val="24"/>
        </w:rPr>
        <w:lastRenderedPageBreak/>
        <w:t xml:space="preserve">Health </w:t>
      </w:r>
      <w:r>
        <w:rPr>
          <w:sz w:val="24"/>
          <w:szCs w:val="24"/>
        </w:rPr>
        <w:t xml:space="preserve">Equity and Racism </w:t>
      </w:r>
    </w:p>
    <w:p w14:paraId="6AB48050" w14:textId="77777777" w:rsidR="00624C97" w:rsidRDefault="00624C97" w:rsidP="00624C97">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2EA75CC7" w14:textId="77777777" w:rsidR="00624C97" w:rsidRDefault="00624C97" w:rsidP="00624C97">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23902079" w14:textId="77777777" w:rsidR="00624C97" w:rsidRDefault="00624C97" w:rsidP="00624C97">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74FE75AA" w14:textId="77777777" w:rsidR="00624C97" w:rsidRDefault="00624C97" w:rsidP="00624C97">
      <w:pPr>
        <w:pStyle w:val="Heading1"/>
        <w:spacing w:before="240" w:after="120"/>
        <w:rPr>
          <w:sz w:val="24"/>
          <w:szCs w:val="24"/>
        </w:rPr>
      </w:pPr>
      <w:r w:rsidRPr="00D04923">
        <w:rPr>
          <w:sz w:val="24"/>
          <w:szCs w:val="24"/>
        </w:rPr>
        <w:t>A</w:t>
      </w:r>
      <w:r>
        <w:rPr>
          <w:sz w:val="24"/>
          <w:szCs w:val="24"/>
        </w:rPr>
        <w:t>bout the department</w:t>
      </w:r>
    </w:p>
    <w:p w14:paraId="219CA029" w14:textId="1D4F2815" w:rsidR="00FF4ADE" w:rsidRDefault="005A14BE" w:rsidP="007B3338">
      <w:pPr>
        <w:spacing w:before="120" w:after="120"/>
        <w:rPr>
          <w:b/>
          <w:szCs w:val="20"/>
        </w:rPr>
      </w:pPr>
      <w:hyperlink r:id="rId16" w:history="1">
        <w:r w:rsidR="00FF4ADE" w:rsidRPr="0050281A">
          <w:rPr>
            <w:rStyle w:val="Hyperlink"/>
          </w:rPr>
          <w:t>https://www.townsville.health.qld.gov.au/facilities/charters-towers/charters-towers-health-service/</w:t>
        </w:r>
      </w:hyperlink>
      <w:r w:rsidR="00FF4ADE">
        <w:t xml:space="preserve"> </w:t>
      </w:r>
    </w:p>
    <w:p w14:paraId="16C7A5CF" w14:textId="0D95CB3F" w:rsidR="00A7453C" w:rsidRPr="00CC6337" w:rsidRDefault="00A7453C" w:rsidP="00CC6337">
      <w:pPr>
        <w:pStyle w:val="Heading1"/>
        <w:spacing w:before="240" w:after="120"/>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7"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8" w:history="1">
        <w:r w:rsidRPr="00CC4416">
          <w:rPr>
            <w:rStyle w:val="Hyperlink"/>
          </w:rPr>
          <w:t>Workers' Compensation and Rehabilitation Act 2003</w:t>
        </w:r>
      </w:hyperlink>
      <w:r w:rsidR="00154509" w:rsidRPr="00CC4416">
        <w:rPr>
          <w:rStyle w:val="Hyperlink"/>
        </w:rPr>
        <w:t>.</w:t>
      </w:r>
    </w:p>
    <w:p w14:paraId="2DF49206" w14:textId="77777777" w:rsidR="007B3338" w:rsidRDefault="00C15284" w:rsidP="00C15284">
      <w:pPr>
        <w:numPr>
          <w:ilvl w:val="0"/>
          <w:numId w:val="14"/>
        </w:numPr>
        <w:spacing w:before="120" w:after="120"/>
        <w:rPr>
          <w:rStyle w:val="Hyperlink"/>
        </w:rPr>
        <w:sectPr w:rsidR="007B3338" w:rsidSect="00AA6F31">
          <w:footerReference w:type="default" r:id="rId19"/>
          <w:headerReference w:type="first" r:id="rId20"/>
          <w:footerReference w:type="first" r:id="rId21"/>
          <w:type w:val="continuous"/>
          <w:pgSz w:w="11906" w:h="16838" w:code="9"/>
          <w:pgMar w:top="709" w:right="849" w:bottom="1135" w:left="851" w:header="567" w:footer="0" w:gutter="0"/>
          <w:cols w:space="568"/>
          <w:titlePg/>
          <w:docGrid w:linePitch="360"/>
        </w:sect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22" w:history="1">
        <w:r w:rsidRPr="00CC4416">
          <w:rPr>
            <w:rStyle w:val="Hyperlink"/>
          </w:rPr>
          <w:t>Quit smoking.....for life!</w:t>
        </w:r>
      </w:hyperlink>
    </w:p>
    <w:p w14:paraId="5281A898" w14:textId="3EEF2128" w:rsidR="00A7453C" w:rsidRDefault="00A7453C" w:rsidP="00CC6337">
      <w:pPr>
        <w:pStyle w:val="Heading1"/>
        <w:spacing w:before="240" w:after="120"/>
        <w:rPr>
          <w:sz w:val="24"/>
          <w:szCs w:val="24"/>
        </w:rPr>
      </w:pPr>
      <w:r w:rsidRPr="00D04923">
        <w:rPr>
          <w:sz w:val="24"/>
          <w:szCs w:val="24"/>
        </w:rPr>
        <w:lastRenderedPageBreak/>
        <w:t xml:space="preserve">Organisational Chart </w:t>
      </w:r>
    </w:p>
    <w:p w14:paraId="7100B9ED" w14:textId="454B5055" w:rsidR="005049A8" w:rsidRPr="005049A8" w:rsidRDefault="005049A8" w:rsidP="005049A8">
      <w:pPr>
        <w:pStyle w:val="BodyText"/>
        <w:rPr>
          <w:lang w:val="en-US"/>
        </w:rPr>
      </w:pPr>
      <w:r w:rsidRPr="00A6523A">
        <w:rPr>
          <w:noProof/>
          <w:sz w:val="24"/>
          <w:szCs w:val="24"/>
        </w:rPr>
        <w:drawing>
          <wp:anchor distT="0" distB="0" distL="114300" distR="114300" simplePos="0" relativeHeight="251661824" behindDoc="0" locked="0" layoutInCell="1" allowOverlap="1" wp14:anchorId="7555A597" wp14:editId="49058B1B">
            <wp:simplePos x="0" y="0"/>
            <wp:positionH relativeFrom="margin">
              <wp:posOffset>-215900</wp:posOffset>
            </wp:positionH>
            <wp:positionV relativeFrom="margin">
              <wp:posOffset>630555</wp:posOffset>
            </wp:positionV>
            <wp:extent cx="9839325" cy="505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16339" r="4131" b="19404"/>
                    <a:stretch/>
                  </pic:blipFill>
                  <pic:spPr bwMode="auto">
                    <a:xfrm>
                      <a:off x="0" y="0"/>
                      <a:ext cx="9839325" cy="505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p>
    <w:sectPr w:rsidR="005049A8" w:rsidRPr="005049A8" w:rsidSect="007B3338">
      <w:headerReference w:type="first" r:id="rId24"/>
      <w:footerReference w:type="first" r:id="rId25"/>
      <w:pgSz w:w="16838" w:h="11906" w:orient="landscape" w:code="9"/>
      <w:pgMar w:top="851" w:right="709" w:bottom="849" w:left="1135" w:header="567" w:footer="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28C0" w14:textId="77777777" w:rsidR="0043434A" w:rsidRDefault="0043434A" w:rsidP="00723663">
      <w:r>
        <w:separator/>
      </w:r>
    </w:p>
  </w:endnote>
  <w:endnote w:type="continuationSeparator" w:id="0">
    <w:p w14:paraId="6444E1CF" w14:textId="77777777" w:rsidR="0043434A" w:rsidRDefault="0043434A"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07A4C14A">
          <wp:simplePos x="0" y="0"/>
          <wp:positionH relativeFrom="column">
            <wp:posOffset>6015355</wp:posOffset>
          </wp:positionH>
          <wp:positionV relativeFrom="paragraph">
            <wp:posOffset>-258445</wp:posOffset>
          </wp:positionV>
          <wp:extent cx="669290" cy="840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5C111561" w:rsidR="00C72410" w:rsidRPr="00464480" w:rsidRDefault="00C72410" w:rsidP="00600593">
    <w:pPr>
      <w:tabs>
        <w:tab w:val="center" w:pos="5103"/>
        <w:tab w:val="right" w:pos="10489"/>
      </w:tabs>
      <w:rPr>
        <w:sz w:val="16"/>
        <w:szCs w:val="16"/>
      </w:rPr>
    </w:pPr>
    <w:r>
      <w:t>Version 1.</w:t>
    </w:r>
    <w:r w:rsidR="00357B71">
      <w:t>7</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13C4A015" w:rsidR="00564993" w:rsidRDefault="00564993" w:rsidP="00600593">
    <w:pPr>
      <w:tabs>
        <w:tab w:val="center" w:pos="5244"/>
        <w:tab w:val="right" w:pos="10489"/>
      </w:tabs>
      <w:jc w:val="center"/>
    </w:pPr>
    <w:r>
      <w:rPr>
        <w:sz w:val="16"/>
        <w:szCs w:val="16"/>
      </w:rPr>
      <w:t xml:space="preserve">Last update: </w:t>
    </w:r>
    <w:r w:rsidR="00357B71">
      <w:rPr>
        <w:sz w:val="16"/>
        <w:szCs w:val="16"/>
      </w:rPr>
      <w:t>November 2023</w:t>
    </w:r>
  </w:p>
  <w:p w14:paraId="539780E2" w14:textId="77777777" w:rsidR="00C72410" w:rsidRDefault="00C72410">
    <w:pPr>
      <w:pStyle w:val="Footer"/>
    </w:pPr>
  </w:p>
  <w:p w14:paraId="76384A4C" w14:textId="77777777" w:rsidR="00C72410" w:rsidRDefault="00C72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F74" w14:textId="6FA70311" w:rsidR="005049A8" w:rsidRDefault="005049A8" w:rsidP="007756D6">
    <w:pPr>
      <w:tabs>
        <w:tab w:val="center" w:pos="5244"/>
        <w:tab w:val="right" w:pos="10489"/>
      </w:tabs>
    </w:pPr>
  </w:p>
  <w:tbl>
    <w:tblPr>
      <w:tblW w:w="5000" w:type="pct"/>
      <w:tblCellMar>
        <w:left w:w="0" w:type="dxa"/>
        <w:right w:w="0" w:type="dxa"/>
      </w:tblCellMar>
      <w:tblLook w:val="04A0" w:firstRow="1" w:lastRow="0" w:firstColumn="1" w:lastColumn="0" w:noHBand="0" w:noVBand="1"/>
    </w:tblPr>
    <w:tblGrid>
      <w:gridCol w:w="4792"/>
      <w:gridCol w:w="5215"/>
      <w:gridCol w:w="4987"/>
    </w:tblGrid>
    <w:tr w:rsidR="005049A8" w:rsidRPr="00C41B4E" w14:paraId="45DA30CF" w14:textId="77777777" w:rsidTr="0009624A">
      <w:trPr>
        <w:trHeight w:val="287"/>
      </w:trPr>
      <w:tc>
        <w:tcPr>
          <w:tcW w:w="3265" w:type="dxa"/>
          <w:shd w:val="clear" w:color="auto" w:fill="auto"/>
        </w:tcPr>
        <w:p w14:paraId="752DA7F2" w14:textId="77777777" w:rsidR="005049A8" w:rsidRPr="00935303" w:rsidRDefault="005049A8" w:rsidP="005049A8">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7390EA05" w14:textId="77777777" w:rsidR="005049A8" w:rsidRPr="00935303" w:rsidRDefault="005049A8" w:rsidP="005049A8">
          <w:pPr>
            <w:pStyle w:val="Footer"/>
            <w:rPr>
              <w:i/>
            </w:rPr>
          </w:pPr>
          <w:r w:rsidRPr="00935303">
            <w:rPr>
              <w:i/>
              <w:color w:val="00A1DE" w:themeColor="background2"/>
            </w:rPr>
            <w:t xml:space="preserve">Role Description </w:t>
          </w:r>
        </w:p>
      </w:tc>
      <w:tc>
        <w:tcPr>
          <w:tcW w:w="3398" w:type="dxa"/>
          <w:shd w:val="clear" w:color="auto" w:fill="auto"/>
        </w:tcPr>
        <w:p w14:paraId="196EAC71" w14:textId="77777777" w:rsidR="005049A8" w:rsidRPr="00C41B4E" w:rsidRDefault="005049A8" w:rsidP="005049A8">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t>6</w:t>
          </w:r>
          <w:r w:rsidRPr="00C41B4E">
            <w:fldChar w:fldCharType="end"/>
          </w:r>
        </w:p>
      </w:tc>
    </w:tr>
    <w:tr w:rsidR="005049A8" w:rsidRPr="00C41B4E" w14:paraId="3D4ABDB6" w14:textId="77777777" w:rsidTr="0009624A">
      <w:tc>
        <w:tcPr>
          <w:tcW w:w="6818" w:type="dxa"/>
          <w:gridSpan w:val="2"/>
          <w:shd w:val="clear" w:color="auto" w:fill="auto"/>
        </w:tcPr>
        <w:p w14:paraId="5E8F5328" w14:textId="77777777" w:rsidR="005049A8" w:rsidRPr="00A7453C" w:rsidRDefault="005049A8" w:rsidP="005049A8">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3B761D31" w14:textId="77777777" w:rsidR="005049A8" w:rsidRPr="00C41B4E" w:rsidRDefault="005049A8" w:rsidP="005049A8">
          <w:pPr>
            <w:pStyle w:val="Footer"/>
            <w:jc w:val="right"/>
          </w:pPr>
        </w:p>
      </w:tc>
    </w:tr>
  </w:tbl>
  <w:p w14:paraId="775CD1F2" w14:textId="77777777" w:rsidR="005049A8" w:rsidRDefault="005049A8" w:rsidP="005049A8">
    <w:pPr>
      <w:pStyle w:val="Footer"/>
    </w:pPr>
  </w:p>
  <w:p w14:paraId="6552974D" w14:textId="77777777" w:rsidR="005049A8" w:rsidRDefault="0050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FD2" w14:textId="77777777" w:rsidR="0043434A" w:rsidRDefault="0043434A" w:rsidP="00723663">
      <w:r>
        <w:separator/>
      </w:r>
    </w:p>
  </w:footnote>
  <w:footnote w:type="continuationSeparator" w:id="0">
    <w:p w14:paraId="1AB9F4AE" w14:textId="77777777" w:rsidR="0043434A" w:rsidRDefault="0043434A"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8" name="Picture 8"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C5FA" w14:textId="72C2AAAF" w:rsidR="007B3338" w:rsidRDefault="007B3338" w:rsidP="00C5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3F7533A"/>
    <w:multiLevelType w:val="hybridMultilevel"/>
    <w:tmpl w:val="3AB47028"/>
    <w:lvl w:ilvl="0" w:tplc="B0122DC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13D1579"/>
    <w:multiLevelType w:val="hybridMultilevel"/>
    <w:tmpl w:val="EAECF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5B7158EB"/>
    <w:multiLevelType w:val="hybridMultilevel"/>
    <w:tmpl w:val="DFE63DBA"/>
    <w:lvl w:ilvl="0" w:tplc="B0122DC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E85AF9"/>
    <w:multiLevelType w:val="hybridMultilevel"/>
    <w:tmpl w:val="512A3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D15A2C"/>
    <w:multiLevelType w:val="hybridMultilevel"/>
    <w:tmpl w:val="1194A738"/>
    <w:lvl w:ilvl="0" w:tplc="B0122DC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5404675">
    <w:abstractNumId w:val="22"/>
  </w:num>
  <w:num w:numId="2" w16cid:durableId="602152375">
    <w:abstractNumId w:val="5"/>
  </w:num>
  <w:num w:numId="3" w16cid:durableId="413281896">
    <w:abstractNumId w:val="13"/>
  </w:num>
  <w:num w:numId="4" w16cid:durableId="77138179">
    <w:abstractNumId w:val="4"/>
  </w:num>
  <w:num w:numId="5" w16cid:durableId="1940795466">
    <w:abstractNumId w:val="18"/>
  </w:num>
  <w:num w:numId="6" w16cid:durableId="1144154764">
    <w:abstractNumId w:val="6"/>
  </w:num>
  <w:num w:numId="7" w16cid:durableId="1033383209">
    <w:abstractNumId w:val="8"/>
  </w:num>
  <w:num w:numId="8" w16cid:durableId="1705056139">
    <w:abstractNumId w:val="9"/>
  </w:num>
  <w:num w:numId="9" w16cid:durableId="179584556">
    <w:abstractNumId w:val="3"/>
  </w:num>
  <w:num w:numId="10" w16cid:durableId="556740070">
    <w:abstractNumId w:val="15"/>
  </w:num>
  <w:num w:numId="11" w16cid:durableId="1342047278">
    <w:abstractNumId w:val="2"/>
  </w:num>
  <w:num w:numId="12" w16cid:durableId="1387529061">
    <w:abstractNumId w:val="14"/>
  </w:num>
  <w:num w:numId="13" w16cid:durableId="399056677">
    <w:abstractNumId w:val="23"/>
  </w:num>
  <w:num w:numId="14" w16cid:durableId="870800370">
    <w:abstractNumId w:val="0"/>
  </w:num>
  <w:num w:numId="15" w16cid:durableId="1831487019">
    <w:abstractNumId w:val="12"/>
  </w:num>
  <w:num w:numId="16" w16cid:durableId="71707367">
    <w:abstractNumId w:val="7"/>
  </w:num>
  <w:num w:numId="17" w16cid:durableId="209340716">
    <w:abstractNumId w:val="10"/>
  </w:num>
  <w:num w:numId="18" w16cid:durableId="1749696072">
    <w:abstractNumId w:val="17"/>
  </w:num>
  <w:num w:numId="19" w16cid:durableId="52781742">
    <w:abstractNumId w:val="1"/>
  </w:num>
  <w:num w:numId="20" w16cid:durableId="944725080">
    <w:abstractNumId w:val="20"/>
  </w:num>
  <w:num w:numId="21" w16cid:durableId="111022361">
    <w:abstractNumId w:val="16"/>
  </w:num>
  <w:num w:numId="22" w16cid:durableId="796140959">
    <w:abstractNumId w:val="19"/>
  </w:num>
  <w:num w:numId="23" w16cid:durableId="135757472">
    <w:abstractNumId w:val="11"/>
  </w:num>
  <w:num w:numId="24" w16cid:durableId="24153101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927F8"/>
    <w:rsid w:val="00194AC0"/>
    <w:rsid w:val="001C7BD5"/>
    <w:rsid w:val="001D33E7"/>
    <w:rsid w:val="001E544B"/>
    <w:rsid w:val="001E6C20"/>
    <w:rsid w:val="001F287C"/>
    <w:rsid w:val="00215B18"/>
    <w:rsid w:val="0022739F"/>
    <w:rsid w:val="00232628"/>
    <w:rsid w:val="00233FC9"/>
    <w:rsid w:val="00272E2D"/>
    <w:rsid w:val="002A3907"/>
    <w:rsid w:val="002C5078"/>
    <w:rsid w:val="002D3993"/>
    <w:rsid w:val="002D74AA"/>
    <w:rsid w:val="002E044E"/>
    <w:rsid w:val="003049E6"/>
    <w:rsid w:val="00306E07"/>
    <w:rsid w:val="003101C7"/>
    <w:rsid w:val="003113F6"/>
    <w:rsid w:val="0031672F"/>
    <w:rsid w:val="00316BCD"/>
    <w:rsid w:val="00345686"/>
    <w:rsid w:val="00357B71"/>
    <w:rsid w:val="0036693A"/>
    <w:rsid w:val="00382B6C"/>
    <w:rsid w:val="003A48BD"/>
    <w:rsid w:val="003B7A3F"/>
    <w:rsid w:val="003D7891"/>
    <w:rsid w:val="003E036A"/>
    <w:rsid w:val="003E3532"/>
    <w:rsid w:val="003F789E"/>
    <w:rsid w:val="004017F0"/>
    <w:rsid w:val="00410948"/>
    <w:rsid w:val="00422648"/>
    <w:rsid w:val="0043434A"/>
    <w:rsid w:val="004358C2"/>
    <w:rsid w:val="00446BFB"/>
    <w:rsid w:val="00451D49"/>
    <w:rsid w:val="00451D5B"/>
    <w:rsid w:val="00461D31"/>
    <w:rsid w:val="0047551F"/>
    <w:rsid w:val="00480C65"/>
    <w:rsid w:val="004A7229"/>
    <w:rsid w:val="004B00B7"/>
    <w:rsid w:val="004D0C14"/>
    <w:rsid w:val="004F547C"/>
    <w:rsid w:val="0050261F"/>
    <w:rsid w:val="005049A8"/>
    <w:rsid w:val="0050629E"/>
    <w:rsid w:val="0052610B"/>
    <w:rsid w:val="00552B85"/>
    <w:rsid w:val="00564993"/>
    <w:rsid w:val="00567DCF"/>
    <w:rsid w:val="005720B9"/>
    <w:rsid w:val="00572D1F"/>
    <w:rsid w:val="005800BE"/>
    <w:rsid w:val="005811D1"/>
    <w:rsid w:val="005971ED"/>
    <w:rsid w:val="005A14BE"/>
    <w:rsid w:val="005B54F0"/>
    <w:rsid w:val="005B7E6B"/>
    <w:rsid w:val="005C3AA1"/>
    <w:rsid w:val="005C7C74"/>
    <w:rsid w:val="005D0167"/>
    <w:rsid w:val="005D230F"/>
    <w:rsid w:val="005E28C7"/>
    <w:rsid w:val="005E7363"/>
    <w:rsid w:val="006001B8"/>
    <w:rsid w:val="00600593"/>
    <w:rsid w:val="00624C97"/>
    <w:rsid w:val="0062636B"/>
    <w:rsid w:val="0065010A"/>
    <w:rsid w:val="006508BC"/>
    <w:rsid w:val="0066192A"/>
    <w:rsid w:val="0066311F"/>
    <w:rsid w:val="00687C02"/>
    <w:rsid w:val="006A1683"/>
    <w:rsid w:val="006B3962"/>
    <w:rsid w:val="006C0E44"/>
    <w:rsid w:val="006C4FCD"/>
    <w:rsid w:val="006D5405"/>
    <w:rsid w:val="006D7642"/>
    <w:rsid w:val="006E529C"/>
    <w:rsid w:val="006F2DBF"/>
    <w:rsid w:val="00705C91"/>
    <w:rsid w:val="00723663"/>
    <w:rsid w:val="0073495D"/>
    <w:rsid w:val="00734F5E"/>
    <w:rsid w:val="007405A4"/>
    <w:rsid w:val="00741209"/>
    <w:rsid w:val="00757F57"/>
    <w:rsid w:val="007756D6"/>
    <w:rsid w:val="00787153"/>
    <w:rsid w:val="007B215D"/>
    <w:rsid w:val="007B21CD"/>
    <w:rsid w:val="007B3338"/>
    <w:rsid w:val="007B4146"/>
    <w:rsid w:val="007C38B8"/>
    <w:rsid w:val="008011C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A606B"/>
    <w:rsid w:val="009E20E4"/>
    <w:rsid w:val="009E2F07"/>
    <w:rsid w:val="009E376F"/>
    <w:rsid w:val="009F2D93"/>
    <w:rsid w:val="009F3881"/>
    <w:rsid w:val="00A11238"/>
    <w:rsid w:val="00A15423"/>
    <w:rsid w:val="00A27DFC"/>
    <w:rsid w:val="00A33F0F"/>
    <w:rsid w:val="00A34437"/>
    <w:rsid w:val="00A50716"/>
    <w:rsid w:val="00A5116C"/>
    <w:rsid w:val="00A55A6B"/>
    <w:rsid w:val="00A62D3C"/>
    <w:rsid w:val="00A7453C"/>
    <w:rsid w:val="00A90F2C"/>
    <w:rsid w:val="00AA6F31"/>
    <w:rsid w:val="00AA74A3"/>
    <w:rsid w:val="00AA751D"/>
    <w:rsid w:val="00AB2F2E"/>
    <w:rsid w:val="00AD0F7D"/>
    <w:rsid w:val="00AD4AF0"/>
    <w:rsid w:val="00AE4ED4"/>
    <w:rsid w:val="00AF1FD1"/>
    <w:rsid w:val="00B025B0"/>
    <w:rsid w:val="00B119B0"/>
    <w:rsid w:val="00B23013"/>
    <w:rsid w:val="00B30147"/>
    <w:rsid w:val="00B35C6A"/>
    <w:rsid w:val="00B479C1"/>
    <w:rsid w:val="00B5088D"/>
    <w:rsid w:val="00B531DD"/>
    <w:rsid w:val="00B7182D"/>
    <w:rsid w:val="00B730F5"/>
    <w:rsid w:val="00B742E4"/>
    <w:rsid w:val="00BC610A"/>
    <w:rsid w:val="00BD33D2"/>
    <w:rsid w:val="00BE5724"/>
    <w:rsid w:val="00C01916"/>
    <w:rsid w:val="00C15284"/>
    <w:rsid w:val="00C260CC"/>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5ACC"/>
    <w:rsid w:val="00D35D74"/>
    <w:rsid w:val="00D37334"/>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D2EF1"/>
    <w:rsid w:val="00EE47F8"/>
    <w:rsid w:val="00F00E67"/>
    <w:rsid w:val="00F07AF9"/>
    <w:rsid w:val="00F118C3"/>
    <w:rsid w:val="00F13EBF"/>
    <w:rsid w:val="00F37992"/>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 w:val="00FF4ADE"/>
    <w:rsid w:val="00FF5D1A"/>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 w:type="paragraph" w:customStyle="1" w:styleId="TableParagraph">
    <w:name w:val="Table Paragraph"/>
    <w:basedOn w:val="Normal"/>
    <w:uiPriority w:val="1"/>
    <w:qFormat/>
    <w:rsid w:val="007B3338"/>
    <w:pPr>
      <w:widowControl w:val="0"/>
      <w:autoSpaceDE w:val="0"/>
      <w:autoSpaceDN w:val="0"/>
      <w:adjustRightInd w:val="0"/>
    </w:pPr>
    <w:rPr>
      <w:rFonts w:eastAsiaTheme="minorEastAsia"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www.legislation.qld.gov.au/legisltn/current/w/workerscompa0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qld.gov.au/gov/documents/policy/lobbyist-disclosu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ownsville.health.qld.gov.au/facilities/charters-towers/charters-towers-health-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image" Target="media/image4.png"/><Relationship Id="rId10" Type="http://schemas.openxmlformats.org/officeDocument/2006/relationships/hyperlink" Target="https://www.legislation.qld.gov.au/LEGISLTN/CURRENT/W/WorkHSA1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hyperlink" Target="https://qheps.health.qld.gov.au/smoke-free/quitsmokin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17</TotalTime>
  <Pages>7</Pages>
  <Words>3027</Words>
  <Characters>17258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Role Description  | Townsville HHS | Employment Services</vt:lpstr>
    </vt:vector>
  </TitlesOfParts>
  <Company>Townsville Hospital and Health Service</Company>
  <LinksUpToDate>false</LinksUpToDate>
  <CharactersWithSpaces>20245</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Taryn OBrien</cp:lastModifiedBy>
  <cp:revision>2</cp:revision>
  <cp:lastPrinted>2018-01-31T06:39:00Z</cp:lastPrinted>
  <dcterms:created xsi:type="dcterms:W3CDTF">2024-06-04T03:45:00Z</dcterms:created>
  <dcterms:modified xsi:type="dcterms:W3CDTF">2024-06-04T03:45:00Z</dcterms:modified>
  <cp:category>Role Description</cp:category>
</cp:coreProperties>
</file>