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6F813498" w:rsidR="00A7453C" w:rsidRDefault="002F69B3" w:rsidP="00600593">
      <w:pPr>
        <w:pStyle w:val="Heading1"/>
        <w:spacing w:before="240"/>
        <w:rPr>
          <w:color w:val="003591" w:themeColor="text2"/>
          <w:sz w:val="36"/>
          <w:szCs w:val="36"/>
          <w:lang w:val="en-AU"/>
        </w:rPr>
      </w:pPr>
      <w:r>
        <w:rPr>
          <w:color w:val="003591" w:themeColor="text2"/>
          <w:sz w:val="36"/>
          <w:szCs w:val="36"/>
          <w:lang w:val="en-AU"/>
        </w:rPr>
        <w:t xml:space="preserve">Staff Specialist </w:t>
      </w:r>
      <w:r w:rsidR="0017554B">
        <w:rPr>
          <w:color w:val="003591" w:themeColor="text2"/>
          <w:sz w:val="36"/>
          <w:szCs w:val="36"/>
          <w:lang w:val="en-AU"/>
        </w:rPr>
        <w:t>Maxillofacial</w:t>
      </w:r>
      <w:r w:rsidR="009669F8">
        <w:rPr>
          <w:color w:val="003591" w:themeColor="text2"/>
          <w:sz w:val="36"/>
          <w:szCs w:val="36"/>
          <w:lang w:val="en-AU"/>
        </w:rPr>
        <w:t xml:space="preserve"> Surgery</w:t>
      </w:r>
      <w:r w:rsidR="005811D1">
        <w:rPr>
          <w:color w:val="003591" w:themeColor="text2"/>
          <w:sz w:val="36"/>
          <w:szCs w:val="36"/>
          <w:lang w:val="en-AU"/>
        </w:rPr>
        <w:t xml:space="preserve"> </w:t>
      </w:r>
    </w:p>
    <w:tbl>
      <w:tblPr>
        <w:tblStyle w:val="TableGrid"/>
        <w:tblW w:w="10485" w:type="dxa"/>
        <w:tblInd w:w="5" w:type="dxa"/>
        <w:tblLook w:val="04A0" w:firstRow="1" w:lastRow="0" w:firstColumn="1" w:lastColumn="0" w:noHBand="0" w:noVBand="1"/>
      </w:tblPr>
      <w:tblGrid>
        <w:gridCol w:w="1696"/>
        <w:gridCol w:w="3261"/>
        <w:gridCol w:w="2127"/>
        <w:gridCol w:w="3401"/>
      </w:tblGrid>
      <w:tr w:rsidR="009E2F07" w14:paraId="03A73D40" w14:textId="77777777" w:rsidTr="00D04923">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764CACC2" w14:textId="2889CF80" w:rsidR="009E2F07" w:rsidRPr="009E2F07" w:rsidRDefault="004D5F4F" w:rsidP="00D04923">
            <w:pPr>
              <w:pStyle w:val="BodyText"/>
              <w:spacing w:line="240" w:lineRule="auto"/>
              <w:ind w:right="144"/>
              <w:rPr>
                <w:color w:val="auto"/>
                <w:lang w:val="en-US"/>
              </w:rPr>
            </w:pPr>
            <w:r>
              <w:rPr>
                <w:color w:val="auto"/>
              </w:rPr>
              <w:t>TV</w:t>
            </w:r>
            <w:r w:rsidR="006950EB">
              <w:rPr>
                <w:color w:val="auto"/>
              </w:rPr>
              <w:t>573309</w:t>
            </w:r>
          </w:p>
        </w:tc>
        <w:tc>
          <w:tcPr>
            <w:tcW w:w="2127"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081408EE" w14:textId="3372B35D" w:rsidR="009E2F07" w:rsidRPr="009E2F07" w:rsidRDefault="0017554B" w:rsidP="00D04923">
            <w:pPr>
              <w:pStyle w:val="BodyText"/>
              <w:spacing w:line="240" w:lineRule="auto"/>
              <w:rPr>
                <w:color w:val="auto"/>
              </w:rPr>
            </w:pPr>
            <w:r>
              <w:rPr>
                <w:color w:val="auto"/>
              </w:rPr>
              <w:t>32026204</w:t>
            </w:r>
          </w:p>
        </w:tc>
      </w:tr>
      <w:tr w:rsidR="009E2F07" w14:paraId="415DA31F" w14:textId="77777777" w:rsidTr="00D04923">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18F4AAFF" w14:textId="0159CD1F" w:rsidR="009E2F07" w:rsidRPr="009E2F07" w:rsidRDefault="002F69B3" w:rsidP="00D04923">
            <w:pPr>
              <w:pStyle w:val="BodyText"/>
              <w:spacing w:line="240" w:lineRule="auto"/>
              <w:ind w:right="144"/>
              <w:rPr>
                <w:color w:val="auto"/>
                <w:lang w:val="en-US"/>
              </w:rPr>
            </w:pPr>
            <w:r>
              <w:rPr>
                <w:color w:val="auto"/>
              </w:rPr>
              <w:t>Senior Staff Specialist or Staff Specialist (Maxillofacial Surgery)</w:t>
            </w:r>
          </w:p>
        </w:tc>
        <w:tc>
          <w:tcPr>
            <w:tcW w:w="2127"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4CE7AA55" w:rsidR="009E2F07" w:rsidRPr="009E2F07" w:rsidRDefault="004745B8" w:rsidP="00D04923">
            <w:pPr>
              <w:pStyle w:val="BodyText"/>
              <w:spacing w:line="240" w:lineRule="auto"/>
              <w:rPr>
                <w:color w:val="auto"/>
                <w:lang w:val="en-US"/>
              </w:rPr>
            </w:pPr>
            <w:r>
              <w:rPr>
                <w:color w:val="auto"/>
              </w:rPr>
              <w:t>L18 – L27</w:t>
            </w:r>
          </w:p>
        </w:tc>
      </w:tr>
      <w:tr w:rsidR="009E2F07" w14:paraId="3F43B878" w14:textId="77777777" w:rsidTr="00D04923">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186A08E8" w14:textId="2192CF95" w:rsidR="009E2F07" w:rsidRPr="009E2F07" w:rsidRDefault="004D5F4F" w:rsidP="00D04923">
            <w:pPr>
              <w:pStyle w:val="BodyText"/>
              <w:spacing w:line="240" w:lineRule="auto"/>
              <w:ind w:right="144"/>
              <w:rPr>
                <w:color w:val="auto"/>
                <w:lang w:val="en-US"/>
              </w:rPr>
            </w:pPr>
            <w:r>
              <w:rPr>
                <w:color w:val="auto"/>
              </w:rPr>
              <w:t>Permanent full-time</w:t>
            </w:r>
          </w:p>
        </w:tc>
        <w:tc>
          <w:tcPr>
            <w:tcW w:w="2127"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012E9500" w14:textId="77777777" w:rsidR="004D5F4F" w:rsidRDefault="004D5F4F" w:rsidP="00D04923">
            <w:pPr>
              <w:pStyle w:val="BodyText"/>
              <w:spacing w:line="240" w:lineRule="auto"/>
              <w:rPr>
                <w:color w:val="auto"/>
              </w:rPr>
            </w:pPr>
            <w:r>
              <w:rPr>
                <w:color w:val="auto"/>
              </w:rPr>
              <w:t xml:space="preserve">$7827.20–$9924.00 </w:t>
            </w:r>
          </w:p>
          <w:p w14:paraId="74AA2B15" w14:textId="1DA338E7" w:rsidR="009E2F07" w:rsidRPr="009E2F07" w:rsidRDefault="007405A4" w:rsidP="00D04923">
            <w:pPr>
              <w:pStyle w:val="BodyText"/>
              <w:spacing w:line="240" w:lineRule="auto"/>
              <w:rPr>
                <w:color w:val="auto"/>
                <w:lang w:val="en-US"/>
              </w:rPr>
            </w:pPr>
            <w:r w:rsidRPr="007405A4">
              <w:rPr>
                <w:color w:val="auto"/>
              </w:rPr>
              <w:t>per fortnight</w:t>
            </w:r>
            <w:r w:rsidR="004D5F4F">
              <w:rPr>
                <w:color w:val="auto"/>
              </w:rPr>
              <w:t xml:space="preserve"> (full-time)</w:t>
            </w:r>
          </w:p>
        </w:tc>
      </w:tr>
      <w:tr w:rsidR="007405A4" w14:paraId="12BD4723" w14:textId="77777777" w:rsidTr="00D04923">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261" w:type="dxa"/>
            <w:vMerge w:val="restart"/>
          </w:tcPr>
          <w:p w14:paraId="03CE4416" w14:textId="77777777" w:rsidR="00C83666" w:rsidRPr="009E2F07" w:rsidRDefault="00C83666" w:rsidP="00C83666">
            <w:pPr>
              <w:pStyle w:val="BodyText"/>
              <w:spacing w:line="240" w:lineRule="auto"/>
              <w:ind w:right="144"/>
              <w:rPr>
                <w:color w:val="auto"/>
              </w:rPr>
            </w:pPr>
            <w:r>
              <w:rPr>
                <w:color w:val="auto"/>
              </w:rPr>
              <w:t xml:space="preserve">Maxillofacial Surgery </w:t>
            </w:r>
          </w:p>
          <w:p w14:paraId="78329E15" w14:textId="1B16A4EF" w:rsidR="007405A4" w:rsidRPr="009E2F07" w:rsidRDefault="00C83666" w:rsidP="00C83666">
            <w:pPr>
              <w:pStyle w:val="BodyText"/>
              <w:spacing w:line="240" w:lineRule="auto"/>
              <w:ind w:right="144"/>
              <w:rPr>
                <w:color w:val="auto"/>
              </w:rPr>
            </w:pPr>
            <w:r>
              <w:rPr>
                <w:color w:val="auto"/>
              </w:rPr>
              <w:t>Surgical Service Group</w:t>
            </w:r>
          </w:p>
        </w:tc>
        <w:tc>
          <w:tcPr>
            <w:tcW w:w="2127"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01D36860" w:rsidR="007405A4" w:rsidRPr="00C82A52" w:rsidRDefault="002D707D" w:rsidP="00D04923">
            <w:pPr>
              <w:spacing w:before="120" w:after="120"/>
              <w:rPr>
                <w:szCs w:val="20"/>
              </w:rPr>
            </w:pPr>
            <w:r>
              <w:t>Dr Marcus Sinanan</w:t>
            </w:r>
          </w:p>
        </w:tc>
      </w:tr>
      <w:tr w:rsidR="007405A4" w14:paraId="66DD5732" w14:textId="77777777" w:rsidTr="00D04923">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261" w:type="dxa"/>
            <w:vMerge/>
          </w:tcPr>
          <w:p w14:paraId="0AF6AB29" w14:textId="77777777" w:rsidR="007405A4" w:rsidRPr="009E2F07" w:rsidRDefault="007405A4" w:rsidP="00D04923">
            <w:pPr>
              <w:pStyle w:val="BodyText"/>
              <w:spacing w:line="240" w:lineRule="auto"/>
              <w:ind w:right="144"/>
              <w:rPr>
                <w:color w:val="auto"/>
              </w:rPr>
            </w:pPr>
          </w:p>
        </w:tc>
        <w:tc>
          <w:tcPr>
            <w:tcW w:w="2127"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3B2FD20B" w:rsidR="007405A4" w:rsidRPr="00C82A52" w:rsidRDefault="007405A4" w:rsidP="00D04923">
            <w:pPr>
              <w:spacing w:before="120" w:after="120"/>
              <w:rPr>
                <w:szCs w:val="20"/>
              </w:rPr>
            </w:pPr>
            <w:r>
              <w:rPr>
                <w:szCs w:val="20"/>
              </w:rPr>
              <w:t>07 4433</w:t>
            </w:r>
            <w:r w:rsidR="002D707D">
              <w:rPr>
                <w:szCs w:val="20"/>
              </w:rPr>
              <w:t xml:space="preserve"> 7721</w:t>
            </w:r>
          </w:p>
        </w:tc>
      </w:tr>
      <w:tr w:rsidR="009E2F07" w14:paraId="02A2AEEB" w14:textId="77777777" w:rsidTr="00D04923">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1C7F269" w14:textId="6DBFABD6" w:rsidR="009E2F07" w:rsidRPr="009E2F07" w:rsidRDefault="00C83666" w:rsidP="00D04923">
            <w:pPr>
              <w:pStyle w:val="BodyText"/>
              <w:spacing w:line="240" w:lineRule="auto"/>
              <w:ind w:right="144"/>
              <w:rPr>
                <w:color w:val="auto"/>
                <w:lang w:val="en-US"/>
              </w:rPr>
            </w:pPr>
            <w:r>
              <w:rPr>
                <w:color w:val="auto"/>
              </w:rPr>
              <w:t>Townsville University Hospital</w:t>
            </w:r>
          </w:p>
        </w:tc>
        <w:tc>
          <w:tcPr>
            <w:tcW w:w="2127"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26AE7D5E" w:rsidR="00CC6337" w:rsidRPr="009E2F07" w:rsidRDefault="004D5F4F" w:rsidP="00410948">
            <w:pPr>
              <w:pStyle w:val="BodyText"/>
              <w:spacing w:line="240" w:lineRule="auto"/>
              <w:rPr>
                <w:color w:val="auto"/>
                <w:lang w:val="en-US"/>
              </w:rPr>
            </w:pPr>
            <w:r>
              <w:rPr>
                <w:color w:val="auto"/>
              </w:rPr>
              <w:t>Sunday 21 July 2024</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1675F577" w14:textId="77777777" w:rsidR="004D5F4F" w:rsidRDefault="004D5F4F" w:rsidP="00C83666">
      <w:pPr>
        <w:pStyle w:val="BodyText"/>
        <w:rPr>
          <w:szCs w:val="20"/>
          <w:lang w:eastAsia="en-AU"/>
        </w:rPr>
      </w:pPr>
      <w:r>
        <w:rPr>
          <w:lang w:eastAsia="en-AU"/>
        </w:rPr>
        <w:t xml:space="preserve">The Townsville Hospital </w:t>
      </w:r>
      <w:r>
        <w:rPr>
          <w:szCs w:val="20"/>
          <w:lang w:eastAsia="en-AU"/>
        </w:rPr>
        <w:t xml:space="preserve">&amp; Health Service is seeking interest from a suitably qualified applicant for a vacancy in Maxillofacial Surgery. The Maxillofacial team works closely with the Plastics department and the ENT department. </w:t>
      </w:r>
    </w:p>
    <w:p w14:paraId="195B7CAF" w14:textId="3B8C751F" w:rsidR="004D5F4F" w:rsidRDefault="004D5F4F" w:rsidP="00C83666">
      <w:pPr>
        <w:pStyle w:val="BodyText"/>
        <w:rPr>
          <w:lang w:eastAsia="en-AU"/>
        </w:rPr>
      </w:pPr>
      <w:r>
        <w:rPr>
          <w:szCs w:val="20"/>
          <w:lang w:eastAsia="en-AU"/>
        </w:rPr>
        <w:t>Townsville University Hospital is a tertiary referral hospital in Far North Queensland.</w:t>
      </w:r>
    </w:p>
    <w:p w14:paraId="1D1CF435" w14:textId="1A53BBE2" w:rsidR="00C83666" w:rsidRDefault="00C83666" w:rsidP="00C83666">
      <w:pPr>
        <w:pStyle w:val="BodyText"/>
        <w:rPr>
          <w:lang w:eastAsia="en-AU"/>
        </w:rPr>
      </w:pPr>
      <w:r>
        <w:rPr>
          <w:lang w:eastAsia="en-AU"/>
        </w:rPr>
        <w:t>The Hospital has 700+ beds and has a strong collaborative relationship with the James Cook University.</w:t>
      </w:r>
    </w:p>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2" w:name="Text22"/>
    </w:p>
    <w:p w14:paraId="306500BF" w14:textId="11818254" w:rsidR="00C83666" w:rsidRPr="0036693A" w:rsidRDefault="00C83666" w:rsidP="00C83666">
      <w:pPr>
        <w:numPr>
          <w:ilvl w:val="0"/>
          <w:numId w:val="12"/>
        </w:numPr>
        <w:tabs>
          <w:tab w:val="num" w:pos="720"/>
        </w:tabs>
        <w:spacing w:before="120" w:after="120"/>
        <w:rPr>
          <w:rFonts w:cs="Arial"/>
          <w:szCs w:val="20"/>
        </w:rPr>
      </w:pPr>
      <w:bookmarkStart w:id="3" w:name="Text17"/>
      <w:bookmarkEnd w:id="2"/>
      <w:r>
        <w:rPr>
          <w:rFonts w:cs="Arial"/>
          <w:szCs w:val="20"/>
        </w:rPr>
        <w:t>This position reports to Clinical Director Maxillofacial Surgery</w:t>
      </w:r>
    </w:p>
    <w:bookmarkEnd w:id="3"/>
    <w:p w14:paraId="2DDA60CD" w14:textId="77777777" w:rsidR="00C83666" w:rsidRPr="0036693A" w:rsidRDefault="00C83666" w:rsidP="00C83666">
      <w:pPr>
        <w:numPr>
          <w:ilvl w:val="0"/>
          <w:numId w:val="12"/>
        </w:numPr>
        <w:tabs>
          <w:tab w:val="num" w:pos="720"/>
        </w:tabs>
        <w:spacing w:before="120" w:after="120"/>
        <w:rPr>
          <w:rFonts w:cs="Arial"/>
          <w:szCs w:val="20"/>
        </w:rPr>
      </w:pPr>
      <w:r>
        <w:rPr>
          <w:rFonts w:cs="Arial"/>
          <w:szCs w:val="20"/>
        </w:rPr>
        <w:t>This position is responsible for appropriate supervision of junior medical staff, and other staff involved in procedural work.</w:t>
      </w:r>
    </w:p>
    <w:p w14:paraId="7A35A13F" w14:textId="77777777" w:rsidR="009E2F07" w:rsidRPr="00CC6337" w:rsidRDefault="00382B6C" w:rsidP="00CC6337">
      <w:pPr>
        <w:pStyle w:val="Heading1"/>
        <w:spacing w:before="240" w:after="120"/>
        <w:rPr>
          <w:sz w:val="24"/>
          <w:szCs w:val="24"/>
        </w:rPr>
      </w:pPr>
      <w:r w:rsidRPr="009E2F07">
        <w:rPr>
          <w:sz w:val="24"/>
          <w:szCs w:val="24"/>
        </w:rPr>
        <w:t>The role</w:t>
      </w:r>
      <w:bookmarkStart w:id="4" w:name="Text12"/>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bookmarkEnd w:id="4"/>
    <w:p w14:paraId="5EA25389" w14:textId="77777777" w:rsidR="00C83666" w:rsidRDefault="00C83666" w:rsidP="00C83666">
      <w:pPr>
        <w:numPr>
          <w:ilvl w:val="0"/>
          <w:numId w:val="12"/>
        </w:numPr>
        <w:spacing w:before="120"/>
        <w:rPr>
          <w:rFonts w:cs="Arial"/>
          <w:szCs w:val="20"/>
        </w:rPr>
      </w:pPr>
      <w:r>
        <w:rPr>
          <w:rFonts w:cs="Arial"/>
          <w:szCs w:val="20"/>
        </w:rPr>
        <w:t>Provide comprehensive surgical services across a wide range of pathologies and patient age within the Department of Maxillofacial Surgery</w:t>
      </w:r>
    </w:p>
    <w:p w14:paraId="146B8B4F" w14:textId="77777777" w:rsidR="00C83666" w:rsidRDefault="00C83666" w:rsidP="00C83666">
      <w:pPr>
        <w:numPr>
          <w:ilvl w:val="0"/>
          <w:numId w:val="12"/>
        </w:numPr>
        <w:spacing w:before="120"/>
        <w:rPr>
          <w:rFonts w:cs="Arial"/>
          <w:szCs w:val="20"/>
        </w:rPr>
      </w:pPr>
      <w:r>
        <w:rPr>
          <w:rFonts w:cs="Arial"/>
          <w:szCs w:val="20"/>
        </w:rPr>
        <w:t>Work within the team charter of Maxillofacial Surgery and across teams, collaborating with Plastics and ENT to build a collegiate team and happy workplace</w:t>
      </w:r>
    </w:p>
    <w:p w14:paraId="7CCC15AF" w14:textId="77777777" w:rsidR="00C83666" w:rsidRDefault="00C83666" w:rsidP="00C83666">
      <w:pPr>
        <w:numPr>
          <w:ilvl w:val="0"/>
          <w:numId w:val="12"/>
        </w:numPr>
        <w:spacing w:before="120"/>
        <w:rPr>
          <w:rFonts w:cs="Arial"/>
          <w:szCs w:val="20"/>
        </w:rPr>
      </w:pPr>
      <w:r>
        <w:rPr>
          <w:rFonts w:cs="Arial"/>
          <w:szCs w:val="20"/>
        </w:rPr>
        <w:t xml:space="preserve">Provide professional leadership in respect of the Maxillofacial Surgery Department activities and in particular, your specialty team(s) </w:t>
      </w:r>
    </w:p>
    <w:p w14:paraId="3C68DF6C" w14:textId="77777777" w:rsidR="00C83666" w:rsidRDefault="00C83666" w:rsidP="00C83666">
      <w:pPr>
        <w:numPr>
          <w:ilvl w:val="0"/>
          <w:numId w:val="12"/>
        </w:numPr>
        <w:spacing w:before="120"/>
        <w:rPr>
          <w:rFonts w:cs="Arial"/>
          <w:szCs w:val="20"/>
        </w:rPr>
      </w:pPr>
      <w:r>
        <w:rPr>
          <w:rFonts w:cs="Arial"/>
          <w:szCs w:val="20"/>
        </w:rPr>
        <w:t>Manage the delivery of patient care in the area of Maxillofacial Surgery including management of complex clinical situations.</w:t>
      </w:r>
    </w:p>
    <w:p w14:paraId="1E500E06" w14:textId="77777777" w:rsidR="00C83666" w:rsidRDefault="00C83666" w:rsidP="00C83666">
      <w:pPr>
        <w:numPr>
          <w:ilvl w:val="0"/>
          <w:numId w:val="12"/>
        </w:numPr>
        <w:spacing w:before="120"/>
        <w:rPr>
          <w:rFonts w:cs="Arial"/>
          <w:szCs w:val="20"/>
        </w:rPr>
      </w:pPr>
      <w:r>
        <w:rPr>
          <w:rFonts w:cs="Arial"/>
          <w:szCs w:val="20"/>
        </w:rPr>
        <w:t>Provide support to the Medical Director in managing the medical workforce within the Maxillofacial Department ensuring that annual leave, rosters, sick leave etc. is appropriately managed across the team(s).</w:t>
      </w:r>
    </w:p>
    <w:p w14:paraId="0036C337" w14:textId="77777777" w:rsidR="00C83666" w:rsidRDefault="00C83666" w:rsidP="00C83666">
      <w:pPr>
        <w:numPr>
          <w:ilvl w:val="0"/>
          <w:numId w:val="12"/>
        </w:numPr>
        <w:spacing w:before="120"/>
        <w:rPr>
          <w:rFonts w:cs="Arial"/>
          <w:szCs w:val="20"/>
        </w:rPr>
      </w:pPr>
      <w:r>
        <w:rPr>
          <w:rFonts w:cs="Arial"/>
          <w:szCs w:val="20"/>
        </w:rPr>
        <w:t>Lead education, research and training activities across your team(s), ensuring that these activities occur within the specialty and that staff are supported.</w:t>
      </w:r>
    </w:p>
    <w:p w14:paraId="4FEBCFF3" w14:textId="77777777" w:rsidR="00C83666" w:rsidRDefault="00C83666" w:rsidP="00C83666">
      <w:pPr>
        <w:numPr>
          <w:ilvl w:val="0"/>
          <w:numId w:val="12"/>
        </w:numPr>
        <w:spacing w:before="120"/>
        <w:rPr>
          <w:rFonts w:cs="Arial"/>
          <w:szCs w:val="20"/>
        </w:rPr>
      </w:pPr>
      <w:r>
        <w:rPr>
          <w:rFonts w:cs="Arial"/>
          <w:szCs w:val="20"/>
        </w:rPr>
        <w:t xml:space="preserve">Assist the Medical Director in the management of clinical governance and patient safety within the Maxillofacial Department ensuring that all incidents, complaints and patient safety activities are actioned and that learning’s from previous incidents is shared widely. </w:t>
      </w:r>
    </w:p>
    <w:p w14:paraId="2495753F" w14:textId="77777777" w:rsidR="00C83666" w:rsidRDefault="00C83666" w:rsidP="00C83666">
      <w:pPr>
        <w:numPr>
          <w:ilvl w:val="0"/>
          <w:numId w:val="12"/>
        </w:numPr>
        <w:spacing w:before="120"/>
        <w:rPr>
          <w:rFonts w:cs="Arial"/>
          <w:szCs w:val="20"/>
        </w:rPr>
      </w:pPr>
      <w:r>
        <w:rPr>
          <w:rFonts w:cs="Arial"/>
          <w:szCs w:val="20"/>
        </w:rPr>
        <w:t>Undertake annual performance review, personal development planning and job planning for your medical team.</w:t>
      </w:r>
    </w:p>
    <w:p w14:paraId="14BFBD31" w14:textId="77777777" w:rsidR="00C83666" w:rsidRDefault="00C83666" w:rsidP="00C83666">
      <w:pPr>
        <w:pStyle w:val="BodyText"/>
        <w:numPr>
          <w:ilvl w:val="0"/>
          <w:numId w:val="12"/>
        </w:numPr>
        <w:spacing w:line="240" w:lineRule="auto"/>
        <w:rPr>
          <w:lang w:eastAsia="en-AU"/>
        </w:rPr>
      </w:pPr>
      <w:r>
        <w:rPr>
          <w:rFonts w:cs="Arial"/>
          <w:szCs w:val="20"/>
        </w:rPr>
        <w:lastRenderedPageBreak/>
        <w:t>Work in collaboration with the Medical Director to effectively manage the resources and budget for your clinical area.</w:t>
      </w:r>
    </w:p>
    <w:p w14:paraId="12627A0E" w14:textId="77777777" w:rsidR="00AA751D" w:rsidRPr="00D04923" w:rsidRDefault="00AA751D" w:rsidP="00D04923">
      <w:pPr>
        <w:spacing w:before="240" w:after="120"/>
        <w:rPr>
          <w:i/>
          <w:color w:val="00A1DE"/>
          <w:szCs w:val="20"/>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4154F667" w14:textId="77777777" w:rsidR="00AA751D" w:rsidRPr="00AA751D" w:rsidRDefault="00AA751D" w:rsidP="00D04923">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p>
    <w:p w14:paraId="737DAFA5" w14:textId="3ADF85BB" w:rsidR="00AA751D" w:rsidRPr="00AA751D" w:rsidRDefault="00AA751D" w:rsidP="00D04923">
      <w:pPr>
        <w:pStyle w:val="BodyText"/>
        <w:spacing w:line="240" w:lineRule="auto"/>
        <w:ind w:left="360"/>
        <w:rPr>
          <w:lang w:eastAsia="en-AU"/>
        </w:rPr>
      </w:pPr>
      <w:r w:rsidRPr="00AA751D">
        <w:rPr>
          <w:b/>
          <w:lang w:eastAsia="en-AU"/>
        </w:rPr>
        <w:t>This is a VPD risk role.</w:t>
      </w:r>
      <w:r w:rsidRPr="00AA751D">
        <w:rPr>
          <w:lang w:eastAsia="en-AU"/>
        </w:rPr>
        <w:t xml:space="preserve"> </w:t>
      </w:r>
    </w:p>
    <w:p w14:paraId="1B04ED9A" w14:textId="53F2B17E"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6A7BE5E" w14:textId="0AF1F2D5" w:rsidR="008C110A" w:rsidRDefault="008C110A" w:rsidP="009E376F">
      <w:pPr>
        <w:spacing w:before="120" w:after="120"/>
        <w:rPr>
          <w:i/>
          <w:iCs/>
        </w:rPr>
      </w:pPr>
      <w:bookmarkStart w:id="5"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r w:rsidR="0050261F">
        <w:rPr>
          <w:i/>
          <w:iCs/>
        </w:rPr>
        <w:t xml:space="preserve"> </w:t>
      </w:r>
    </w:p>
    <w:bookmarkEnd w:id="5"/>
    <w:p w14:paraId="57F0AEBF" w14:textId="1B9A6D4B"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CC6337">
      <w:pPr>
        <w:pStyle w:val="Heading1"/>
        <w:spacing w:before="240" w:after="120"/>
        <w:rPr>
          <w:sz w:val="24"/>
          <w:szCs w:val="24"/>
        </w:rPr>
      </w:pPr>
      <w:bookmarkStart w:id="6" w:name="_Hlk78206119"/>
      <w:bookmarkStart w:id="7" w:name="_Hlk87019167"/>
      <w:r w:rsidRPr="00D04923">
        <w:rPr>
          <w:sz w:val="24"/>
          <w:szCs w:val="24"/>
        </w:rPr>
        <w:t>Mandatory qualifications/ professional registration/ other requirements</w:t>
      </w:r>
    </w:p>
    <w:p w14:paraId="7E783838" w14:textId="77777777" w:rsidR="00C83666" w:rsidRPr="00E53BB3" w:rsidRDefault="00C83666" w:rsidP="00C83666">
      <w:pPr>
        <w:numPr>
          <w:ilvl w:val="0"/>
          <w:numId w:val="14"/>
        </w:numPr>
        <w:spacing w:before="120" w:after="120"/>
        <w:rPr>
          <w:rFonts w:cs="Arial"/>
          <w:noProof/>
          <w:color w:val="000000"/>
          <w:szCs w:val="20"/>
        </w:rPr>
      </w:pPr>
      <w:bookmarkStart w:id="8" w:name="Text27"/>
      <w:bookmarkStart w:id="9" w:name="_Hlk55994313"/>
      <w:r w:rsidRPr="00E53BB3">
        <w:rPr>
          <w:rFonts w:cs="Arial"/>
          <w:noProof/>
          <w:color w:val="000000"/>
          <w:szCs w:val="20"/>
        </w:rPr>
        <w:t>Appointment to this position requires proof of qualification and registration or membership (if applicable) with the appropriate registration authority or association. Certified copies of the required information must be provided to the approp</w:t>
      </w:r>
      <w:r>
        <w:rPr>
          <w:rFonts w:cs="Arial"/>
          <w:noProof/>
          <w:color w:val="000000"/>
          <w:szCs w:val="20"/>
        </w:rPr>
        <w:t>r</w:t>
      </w:r>
      <w:r w:rsidRPr="00E53BB3">
        <w:rPr>
          <w:rFonts w:cs="Arial"/>
          <w:noProof/>
          <w:color w:val="000000"/>
          <w:szCs w:val="20"/>
        </w:rPr>
        <w:t>iate supervisor/manager prior</w:t>
      </w:r>
      <w:r>
        <w:rPr>
          <w:rFonts w:cs="Arial"/>
          <w:noProof/>
          <w:color w:val="000000"/>
          <w:szCs w:val="20"/>
        </w:rPr>
        <w:t xml:space="preserve"> </w:t>
      </w:r>
      <w:r w:rsidRPr="00E53BB3">
        <w:rPr>
          <w:rFonts w:cs="Arial"/>
          <w:noProof/>
          <w:color w:val="000000"/>
          <w:szCs w:val="20"/>
        </w:rPr>
        <w:t>to commencement of clinical duties.</w:t>
      </w:r>
    </w:p>
    <w:bookmarkEnd w:id="8"/>
    <w:p w14:paraId="6511ACF6" w14:textId="77777777" w:rsidR="00C83666" w:rsidRPr="00B037AA" w:rsidRDefault="00C83666" w:rsidP="00C83666">
      <w:pPr>
        <w:numPr>
          <w:ilvl w:val="0"/>
          <w:numId w:val="14"/>
        </w:numPr>
        <w:spacing w:before="120"/>
        <w:rPr>
          <w:rFonts w:cs="Arial"/>
          <w:szCs w:val="20"/>
        </w:rPr>
      </w:pPr>
      <w:r w:rsidRPr="00B037AA">
        <w:rPr>
          <w:rFonts w:cs="Arial"/>
          <w:szCs w:val="20"/>
        </w:rPr>
        <w:t xml:space="preserve">All applicants must be awarded SoCP by the THHS Credentialing and SoCP committee.  All appointments are subject to maintenance of SoCP within the CSCF for the facilities in which clinical work is to be undertaken.  </w:t>
      </w:r>
    </w:p>
    <w:p w14:paraId="72253381" w14:textId="450E26B5" w:rsidR="00C83666" w:rsidRPr="00B037AA" w:rsidRDefault="00C83666" w:rsidP="00C83666">
      <w:pPr>
        <w:numPr>
          <w:ilvl w:val="0"/>
          <w:numId w:val="14"/>
        </w:numPr>
        <w:spacing w:before="120"/>
        <w:rPr>
          <w:rFonts w:cs="Arial"/>
          <w:szCs w:val="20"/>
        </w:rPr>
      </w:pPr>
      <w:r w:rsidRPr="00B037AA">
        <w:rPr>
          <w:rFonts w:cs="Arial"/>
          <w:szCs w:val="20"/>
        </w:rPr>
        <w:t>MBBS or equivalent, registrable with AHPRA</w:t>
      </w:r>
      <w:r w:rsidR="00C44995">
        <w:rPr>
          <w:rFonts w:cs="Arial"/>
          <w:szCs w:val="20"/>
        </w:rPr>
        <w:t>.</w:t>
      </w:r>
      <w:r w:rsidRPr="00B037AA">
        <w:rPr>
          <w:rFonts w:cs="Arial"/>
          <w:szCs w:val="20"/>
        </w:rPr>
        <w:t xml:space="preserve"> </w:t>
      </w:r>
    </w:p>
    <w:p w14:paraId="1835C969" w14:textId="2EB3DC10" w:rsidR="00C83666" w:rsidRPr="00B037AA" w:rsidRDefault="00C83666" w:rsidP="00C83666">
      <w:pPr>
        <w:numPr>
          <w:ilvl w:val="0"/>
          <w:numId w:val="14"/>
        </w:numPr>
        <w:spacing w:before="120"/>
        <w:rPr>
          <w:rFonts w:cs="Arial"/>
          <w:szCs w:val="20"/>
        </w:rPr>
      </w:pPr>
      <w:r w:rsidRPr="00B037AA">
        <w:rPr>
          <w:rFonts w:cs="Arial"/>
          <w:szCs w:val="20"/>
        </w:rPr>
        <w:t>Fellowship of the Royal Australian College of Surgeons and FRACDS (OMS) - Registration with AHPRA and Dental Board of Australia as a Specialist Oral &amp; Maxillofacial Surgeon</w:t>
      </w:r>
      <w:r>
        <w:rPr>
          <w:rFonts w:cs="Arial"/>
          <w:szCs w:val="20"/>
        </w:rPr>
        <w:t xml:space="preserve"> or working towards this qualification and able to be credentialled as a SMO</w:t>
      </w:r>
      <w:r w:rsidR="00C44995">
        <w:rPr>
          <w:rFonts w:cs="Arial"/>
          <w:szCs w:val="20"/>
        </w:rPr>
        <w:t>.</w:t>
      </w:r>
    </w:p>
    <w:p w14:paraId="627C8A33" w14:textId="78E861BC" w:rsidR="00C83666" w:rsidRDefault="00C83666" w:rsidP="00C83666">
      <w:pPr>
        <w:numPr>
          <w:ilvl w:val="0"/>
          <w:numId w:val="14"/>
        </w:numPr>
        <w:spacing w:before="120"/>
        <w:rPr>
          <w:rFonts w:cs="Arial"/>
          <w:szCs w:val="20"/>
        </w:rPr>
      </w:pPr>
      <w:r w:rsidRPr="00B037AA">
        <w:rPr>
          <w:rFonts w:cs="Arial"/>
          <w:szCs w:val="20"/>
        </w:rPr>
        <w:t>This requires proof of qualification and where applicable, registration or membership with the Medical Board of Australia and Dental Board of Australia.</w:t>
      </w:r>
    </w:p>
    <w:p w14:paraId="5ECEA430" w14:textId="3408DBCB" w:rsidR="00C83666" w:rsidRPr="00B037AA" w:rsidRDefault="00C83666" w:rsidP="00C83666">
      <w:pPr>
        <w:numPr>
          <w:ilvl w:val="0"/>
          <w:numId w:val="14"/>
        </w:numPr>
        <w:spacing w:before="120"/>
        <w:rPr>
          <w:rFonts w:cs="Arial"/>
          <w:szCs w:val="20"/>
        </w:rPr>
      </w:pPr>
      <w:r w:rsidRPr="00462D73">
        <w:rPr>
          <w:rFonts w:cs="Arial"/>
          <w:szCs w:val="20"/>
        </w:rPr>
        <w:t>Candidates who will be obtaining fellowship in the near future are encouraged to apply. Appointment will be at a lower classification level until minimum requirements for the Staff Specialist classification are obtained</w:t>
      </w:r>
      <w:r w:rsidR="00C44995">
        <w:rPr>
          <w:rFonts w:cs="Arial"/>
          <w:szCs w:val="20"/>
        </w:rPr>
        <w:t>.</w:t>
      </w:r>
    </w:p>
    <w:p w14:paraId="726E504F" w14:textId="77777777" w:rsidR="00AA74A3" w:rsidRPr="00DA2CB0" w:rsidRDefault="00AA74A3" w:rsidP="00AA74A3">
      <w:pPr>
        <w:numPr>
          <w:ilvl w:val="0"/>
          <w:numId w:val="14"/>
        </w:numPr>
        <w:spacing w:before="120" w:after="120"/>
        <w:rPr>
          <w:rFonts w:cs="Arial"/>
          <w:noProof/>
          <w:color w:val="000000"/>
          <w:szCs w:val="20"/>
        </w:rPr>
      </w:pPr>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bookmarkEnd w:id="9"/>
    <w:bookmarkEnd w:id="6"/>
    <w:bookmarkEnd w:id="7"/>
    <w:p w14:paraId="00E516D1" w14:textId="77777777" w:rsidR="004D5F4F" w:rsidRDefault="004D5F4F">
      <w:pPr>
        <w:rPr>
          <w:rFonts w:eastAsia="Times New Roman"/>
          <w:b/>
          <w:color w:val="003491"/>
          <w:sz w:val="24"/>
          <w:szCs w:val="24"/>
          <w:lang w:val="en-US"/>
        </w:rPr>
      </w:pPr>
      <w:r>
        <w:rPr>
          <w:sz w:val="24"/>
          <w:szCs w:val="24"/>
        </w:rPr>
        <w:br w:type="page"/>
      </w:r>
    </w:p>
    <w:p w14:paraId="0280A95A" w14:textId="4656897B" w:rsidR="009E2F07" w:rsidRPr="00CC6337" w:rsidRDefault="009E2F07" w:rsidP="00CC6337">
      <w:pPr>
        <w:pStyle w:val="Heading1"/>
        <w:spacing w:before="240" w:after="120"/>
        <w:rPr>
          <w:sz w:val="24"/>
          <w:szCs w:val="24"/>
        </w:rPr>
      </w:pPr>
      <w:r w:rsidRPr="00D04923">
        <w:rPr>
          <w:sz w:val="24"/>
          <w:szCs w:val="24"/>
        </w:rPr>
        <w:lastRenderedPageBreak/>
        <w:t>How you will be assessed</w:t>
      </w:r>
    </w:p>
    <w:p w14:paraId="1CED8D15"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5F8B05FD" w14:textId="77777777" w:rsidR="00C83666" w:rsidRDefault="00C83666" w:rsidP="00C83666">
      <w:pPr>
        <w:numPr>
          <w:ilvl w:val="0"/>
          <w:numId w:val="20"/>
        </w:numPr>
        <w:spacing w:after="60"/>
        <w:rPr>
          <w:rFonts w:cs="Arial"/>
          <w:color w:val="000000"/>
        </w:rPr>
      </w:pPr>
      <w:r w:rsidRPr="00EB1FB0">
        <w:rPr>
          <w:rFonts w:cs="Arial"/>
          <w:color w:val="000000"/>
        </w:rPr>
        <w:t>Knowledge of current medical practices and issues, and evidence of an appropriate level of expertise in the skills of the discipline.</w:t>
      </w:r>
    </w:p>
    <w:p w14:paraId="73719F3C" w14:textId="77777777" w:rsidR="00C83666" w:rsidRPr="00B037AA" w:rsidRDefault="00C83666" w:rsidP="00C83666">
      <w:pPr>
        <w:numPr>
          <w:ilvl w:val="0"/>
          <w:numId w:val="20"/>
        </w:numPr>
        <w:spacing w:after="60"/>
        <w:rPr>
          <w:rFonts w:cs="Arial"/>
          <w:color w:val="000000"/>
        </w:rPr>
      </w:pPr>
      <w:r w:rsidRPr="00B037AA">
        <w:rPr>
          <w:rFonts w:cs="Arial"/>
          <w:color w:val="000000"/>
        </w:rPr>
        <w:t>Demonstrated ability to review, analyse and evaluate patient care for the identification of appropriate treatment and investigations.</w:t>
      </w:r>
    </w:p>
    <w:p w14:paraId="68F6C950" w14:textId="77777777" w:rsidR="00C83666" w:rsidRPr="00F91FB0" w:rsidRDefault="00C83666" w:rsidP="00C83666">
      <w:pPr>
        <w:numPr>
          <w:ilvl w:val="0"/>
          <w:numId w:val="20"/>
        </w:numPr>
        <w:spacing w:after="60"/>
        <w:rPr>
          <w:rFonts w:cs="Arial"/>
          <w:spacing w:val="-3"/>
        </w:rPr>
      </w:pPr>
      <w:r w:rsidRPr="00B037AA">
        <w:rPr>
          <w:rFonts w:cs="Arial"/>
          <w:color w:val="000000"/>
        </w:rPr>
        <w:t>Ability to maintain accurate and complete</w:t>
      </w:r>
      <w:r w:rsidRPr="00F91FB0">
        <w:rPr>
          <w:rFonts w:cs="Arial"/>
          <w:spacing w:val="-3"/>
        </w:rPr>
        <w:t xml:space="preserve"> medical records – clinical, administrative and statistical.</w:t>
      </w:r>
    </w:p>
    <w:p w14:paraId="5E960077" w14:textId="77777777" w:rsidR="00C83666" w:rsidRPr="00F91FB0" w:rsidRDefault="00C83666" w:rsidP="00C83666">
      <w:pPr>
        <w:numPr>
          <w:ilvl w:val="0"/>
          <w:numId w:val="20"/>
        </w:numPr>
        <w:tabs>
          <w:tab w:val="left" w:pos="0"/>
          <w:tab w:val="left" w:pos="851"/>
          <w:tab w:val="left" w:pos="3544"/>
        </w:tabs>
        <w:suppressAutoHyphens/>
        <w:overflowPunct w:val="0"/>
        <w:autoSpaceDE w:val="0"/>
        <w:autoSpaceDN w:val="0"/>
        <w:adjustRightInd w:val="0"/>
        <w:spacing w:after="60"/>
        <w:jc w:val="both"/>
        <w:textAlignment w:val="baseline"/>
        <w:rPr>
          <w:rFonts w:cs="Arial"/>
          <w:spacing w:val="-3"/>
        </w:rPr>
      </w:pPr>
      <w:r w:rsidRPr="00F91FB0">
        <w:rPr>
          <w:rFonts w:cs="Arial"/>
          <w:spacing w:val="-3"/>
        </w:rPr>
        <w:t>Well-developed communication skills (written, oral and interpersonal skills) with the ability to communicate with all levels of staff and hospital clients from a variety of backgrounds.</w:t>
      </w:r>
    </w:p>
    <w:p w14:paraId="3B9CBF7B" w14:textId="77777777" w:rsidR="00C83666" w:rsidRPr="00EB1FB0" w:rsidRDefault="00C83666" w:rsidP="00C83666">
      <w:pPr>
        <w:numPr>
          <w:ilvl w:val="0"/>
          <w:numId w:val="20"/>
        </w:numPr>
        <w:spacing w:after="60"/>
        <w:rPr>
          <w:rFonts w:cs="Arial"/>
          <w:color w:val="000000"/>
        </w:rPr>
      </w:pPr>
      <w:r w:rsidRPr="00EB1FB0">
        <w:rPr>
          <w:rFonts w:cs="Arial"/>
          <w:color w:val="000000"/>
        </w:rPr>
        <w:t>A personal commitment to the maintenance of high standards in the clinical care to patients and proven ability to react promptly to emergency or urgent situations impacting upon patient care.</w:t>
      </w:r>
    </w:p>
    <w:p w14:paraId="076A9AE4" w14:textId="77777777" w:rsidR="00C83666" w:rsidRPr="00EB1FB0" w:rsidRDefault="00C83666" w:rsidP="00C83666">
      <w:pPr>
        <w:numPr>
          <w:ilvl w:val="0"/>
          <w:numId w:val="20"/>
        </w:numPr>
        <w:spacing w:after="60"/>
        <w:rPr>
          <w:rFonts w:cs="Arial"/>
          <w:color w:val="000000"/>
        </w:rPr>
      </w:pPr>
      <w:r w:rsidRPr="00EB1FB0">
        <w:rPr>
          <w:rFonts w:cs="Arial"/>
          <w:color w:val="000000"/>
        </w:rPr>
        <w:t xml:space="preserve">Ability to practice medicine in a cross cultural environment. </w:t>
      </w:r>
    </w:p>
    <w:p w14:paraId="1FC4E210" w14:textId="77777777" w:rsidR="00C83666" w:rsidRPr="00E64DCF" w:rsidRDefault="00C83666" w:rsidP="00C83666">
      <w:pPr>
        <w:numPr>
          <w:ilvl w:val="0"/>
          <w:numId w:val="20"/>
        </w:numPr>
        <w:spacing w:after="60"/>
        <w:rPr>
          <w:rFonts w:cs="Arial"/>
          <w:color w:val="000000"/>
        </w:rPr>
      </w:pPr>
      <w:r w:rsidRPr="00EB1FB0">
        <w:rPr>
          <w:rFonts w:cs="Arial"/>
          <w:color w:val="000000"/>
        </w:rPr>
        <w:t>Build relationships with patients and members of the multidisciplinary team, using strong communications skills and negotiation skills to understand needs and to deliver a service that meets their needs and policy guidelines.</w:t>
      </w:r>
    </w:p>
    <w:p w14:paraId="159F933C" w14:textId="5729F0D7" w:rsidR="00B23013" w:rsidRPr="00CC6337" w:rsidRDefault="00B23013" w:rsidP="00CC6337">
      <w:pPr>
        <w:pStyle w:val="Heading1"/>
        <w:spacing w:before="240" w:after="120"/>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knowledge and personal qualities are relevant for the role, </w:t>
      </w:r>
      <w:r w:rsidR="00757F57">
        <w:t xml:space="preserve">addressing </w:t>
      </w:r>
      <w:r w:rsidR="00B23013" w:rsidRPr="00B23013">
        <w:t>the key responsibilities and key attributes of the position.</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D04923">
      <w:pPr>
        <w:pStyle w:val="BodyText"/>
        <w:spacing w:line="240" w:lineRule="auto"/>
      </w:pPr>
      <w:r>
        <w:t>Once completed, your application should be submitted online – visit</w:t>
      </w:r>
      <w:r w:rsidR="00BE5724">
        <w:t xml:space="preserve"> the</w:t>
      </w:r>
      <w:r>
        <w:t xml:space="preserve"> </w:t>
      </w:r>
      <w:hyperlink r:id="rId11"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3CDDE08A" w14:textId="7D850507" w:rsidR="004B00B7" w:rsidRPr="009A606B" w:rsidRDefault="004B00B7" w:rsidP="00155828">
      <w:pPr>
        <w:pStyle w:val="Heading1"/>
        <w:spacing w:before="240" w:after="120"/>
        <w:rPr>
          <w:b w:val="0"/>
          <w:bCs/>
          <w:sz w:val="20"/>
          <w:szCs w:val="20"/>
        </w:rPr>
      </w:pPr>
      <w:r w:rsidRPr="009A606B">
        <w:rPr>
          <w:b w:val="0"/>
          <w:bCs/>
          <w:color w:val="000000" w:themeColor="text1"/>
          <w:sz w:val="20"/>
          <w:szCs w:val="20"/>
        </w:rPr>
        <w:t xml:space="preserve">Our vision is world-class healthcare for northern Queensland. The </w:t>
      </w:r>
      <w:hyperlink r:id="rId12"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2BD91067" w14:textId="4E0A91C0" w:rsidR="00155828" w:rsidRDefault="00155828" w:rsidP="00D04923">
      <w:pPr>
        <w:spacing w:before="120" w:after="120"/>
      </w:pPr>
      <w:r>
        <w:br w:type="page"/>
      </w:r>
    </w:p>
    <w:p w14:paraId="06865D60" w14:textId="77777777" w:rsidR="004B00B7" w:rsidRDefault="004B00B7" w:rsidP="00D04923">
      <w:pPr>
        <w:spacing w:before="120" w:after="120"/>
      </w:pPr>
    </w:p>
    <w:p w14:paraId="183A370A" w14:textId="43585CF3" w:rsidR="009E2F07" w:rsidRPr="005811D1" w:rsidRDefault="00D04923" w:rsidP="00D04923">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D04923">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721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Pr="002C5078" w:rsidRDefault="00A7453C" w:rsidP="00D0492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4" w:history="1">
        <w:r w:rsidR="002C5078" w:rsidRPr="00CC4416">
          <w:rPr>
            <w:rStyle w:val="Hyperlink"/>
            <w:b/>
            <w:bCs/>
          </w:rPr>
          <w:t>Townsville Hospital and Health Service</w:t>
        </w:r>
      </w:hyperlink>
      <w:r w:rsidR="002C5078" w:rsidRPr="002C5078">
        <w:rPr>
          <w:b/>
          <w:bCs/>
          <w:u w:val="single"/>
        </w:rPr>
        <w:t xml:space="preserve"> </w:t>
      </w:r>
    </w:p>
    <w:p w14:paraId="55DCA8CB" w14:textId="74DE2DA6" w:rsidR="00624C97" w:rsidRDefault="00624C97" w:rsidP="00CC6337">
      <w:pPr>
        <w:pStyle w:val="Heading1"/>
        <w:spacing w:before="240" w:after="120"/>
        <w:rPr>
          <w:sz w:val="24"/>
          <w:szCs w:val="24"/>
        </w:rPr>
      </w:pPr>
      <w:r w:rsidRPr="00D04923">
        <w:rPr>
          <w:sz w:val="24"/>
          <w:szCs w:val="24"/>
        </w:rPr>
        <w:t xml:space="preserve">Health </w:t>
      </w:r>
      <w:r>
        <w:rPr>
          <w:sz w:val="24"/>
          <w:szCs w:val="24"/>
        </w:rPr>
        <w:t xml:space="preserve">Equity and Racism </w:t>
      </w:r>
    </w:p>
    <w:p w14:paraId="6AB48050" w14:textId="77777777" w:rsidR="00624C97" w:rsidRDefault="00624C97" w:rsidP="00624C97">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5" w:history="1">
        <w:r>
          <w:rPr>
            <w:rStyle w:val="Hyperlink"/>
          </w:rPr>
          <w:t>First Nations Health Equity Strategy 2022-2025 and Implementation Plan</w:t>
        </w:r>
      </w:hyperlink>
    </w:p>
    <w:p w14:paraId="2EA75CC7" w14:textId="77777777" w:rsidR="00624C97" w:rsidRDefault="00624C97" w:rsidP="00624C97">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23902079" w14:textId="77777777" w:rsidR="00624C97" w:rsidRDefault="00624C97" w:rsidP="00624C97">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p w14:paraId="16C7A5CF" w14:textId="0D95CB3F" w:rsidR="00A7453C" w:rsidRPr="00CC6337" w:rsidRDefault="00A7453C" w:rsidP="00CC6337">
      <w:pPr>
        <w:pStyle w:val="Heading1"/>
        <w:spacing w:before="240" w:after="120"/>
        <w:rPr>
          <w:sz w:val="24"/>
          <w:szCs w:val="24"/>
        </w:rPr>
      </w:pPr>
      <w:r w:rsidRPr="00D04923">
        <w:rPr>
          <w:sz w:val="24"/>
          <w:szCs w:val="24"/>
        </w:rPr>
        <w:t xml:space="preserve">Additional </w:t>
      </w:r>
      <w:r w:rsidR="00DC7A8E">
        <w:rPr>
          <w:sz w:val="24"/>
          <w:szCs w:val="24"/>
        </w:rPr>
        <w:t>i</w:t>
      </w:r>
      <w:r w:rsidRPr="00D04923">
        <w:rPr>
          <w:sz w:val="24"/>
          <w:szCs w:val="24"/>
        </w:rPr>
        <w:t>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C15284">
      <w:pPr>
        <w:numPr>
          <w:ilvl w:val="0"/>
          <w:numId w:val="14"/>
        </w:numPr>
        <w:spacing w:before="120" w:after="120"/>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C15284">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6"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7" w:history="1">
        <w:r w:rsidRPr="00CC4416">
          <w:rPr>
            <w:rStyle w:val="Hyperlink"/>
          </w:rPr>
          <w:t>Workers' Compensation and Rehabilitation Act 2003</w:t>
        </w:r>
      </w:hyperlink>
      <w:r w:rsidR="00154509" w:rsidRPr="00CC4416">
        <w:rPr>
          <w:rStyle w:val="Hyperlink"/>
        </w:rPr>
        <w:t>.</w:t>
      </w:r>
    </w:p>
    <w:p w14:paraId="679B7919" w14:textId="154011D5" w:rsidR="00C15284" w:rsidRPr="00CC473F" w:rsidRDefault="00C15284" w:rsidP="00C15284">
      <w:pPr>
        <w:numPr>
          <w:ilvl w:val="0"/>
          <w:numId w:val="14"/>
        </w:numPr>
        <w:spacing w:before="120" w:after="120"/>
        <w:rPr>
          <w:color w:val="000000"/>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18" w:history="1">
        <w:r w:rsidRPr="00CC4416">
          <w:rPr>
            <w:rStyle w:val="Hyperlink"/>
          </w:rPr>
          <w:t>Quit smoking.....for life!</w:t>
        </w:r>
      </w:hyperlink>
    </w:p>
    <w:p w14:paraId="5281A898" w14:textId="039CBC32" w:rsidR="00A7453C" w:rsidRPr="00CC6337" w:rsidRDefault="00C44995" w:rsidP="00CC6337">
      <w:pPr>
        <w:pStyle w:val="Heading1"/>
        <w:spacing w:before="240" w:after="120"/>
        <w:rPr>
          <w:sz w:val="24"/>
          <w:szCs w:val="24"/>
        </w:rPr>
      </w:pPr>
      <w:r>
        <w:rPr>
          <w:b w:val="0"/>
          <w:noProof/>
          <w:sz w:val="24"/>
          <w:szCs w:val="24"/>
        </w:rPr>
        <w:lastRenderedPageBreak/>
        <w:object w:dxaOrig="1440" w:dyaOrig="1440" w14:anchorId="17C39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pt;margin-top:13pt;width:592.3pt;height:592.55pt;z-index:-251658240;mso-position-horizontal-relative:text;mso-position-vertical-relative:text" wrapcoords="5769 1308 5802 3455 7916 3991 5903 4125 5769 4159 5769 6440 6742 6675 7848 6675 7848 7211 6138 7513 5735 7614 5735 9425 7647 9894 7848 9894 7848 10431 6071 10431 5937 10465 5937 12376 6708 12578 7848 12578 7848 13114 6171 13282 5903 13349 5903 14188 570 14221 570 15361 6708 15798 7848 15798 7848 16334 6540 16435 6406 16468 6406 17944 5165 17944 5031 18011 5031 19152 5098 19554 8050 19554 11270 19554 11504 19520 11504 18011 11303 17944 10029 17944 10096 16468 9861 16435 8050 16334 8050 15261 9291 15261 10096 15060 10129 13383 9861 13316 8050 13114 8050 12578 9291 12578 10062 12376 10096 10498 9827 10431 8050 10431 8050 9894 8352 9894 10196 9425 10196 8821 11337 8821 13450 8486 13416 3991 13986 3991 15596 3589 15529 1375 15496 1308 5769 1308">
            <v:imagedata r:id="rId19" o:title=""/>
            <w10:wrap side="right"/>
          </v:shape>
          <o:OLEObject Type="Embed" ProgID="Visio.Drawing.11" ShapeID="_x0000_s1026" DrawAspect="Content" ObjectID="_1780387224" r:id="rId20"/>
        </w:object>
      </w:r>
      <w:r w:rsidR="00A7453C" w:rsidRPr="00D04923">
        <w:rPr>
          <w:sz w:val="24"/>
          <w:szCs w:val="24"/>
        </w:rPr>
        <w:t xml:space="preserve">Organisational Chart </w:t>
      </w:r>
    </w:p>
    <w:bookmarkEnd w:id="0"/>
    <w:bookmarkEnd w:id="1"/>
    <w:p w14:paraId="1C537840" w14:textId="798F2574" w:rsidR="002D74AA" w:rsidRDefault="002D74AA" w:rsidP="00CC4416">
      <w:pPr>
        <w:spacing w:before="120" w:after="120"/>
        <w:ind w:left="360"/>
      </w:pPr>
    </w:p>
    <w:sectPr w:rsidR="002D74AA" w:rsidSect="00AA6F31">
      <w:footerReference w:type="default" r:id="rId21"/>
      <w:headerReference w:type="first" r:id="rId22"/>
      <w:footerReference w:type="first" r:id="rId23"/>
      <w:type w:val="continuous"/>
      <w:pgSz w:w="11906" w:h="16838" w:code="9"/>
      <w:pgMar w:top="709" w:right="849" w:bottom="1135" w:left="851" w:header="567" w:footer="0"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63EB" w14:textId="77777777" w:rsidR="00BD33D2" w:rsidRDefault="00BD33D2" w:rsidP="00723663">
      <w:r>
        <w:separator/>
      </w:r>
    </w:p>
  </w:endnote>
  <w:endnote w:type="continuationSeparator" w:id="0">
    <w:p w14:paraId="550156FA" w14:textId="77777777" w:rsidR="00BD33D2" w:rsidRDefault="00BD33D2"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07A4C14A">
          <wp:simplePos x="0" y="0"/>
          <wp:positionH relativeFrom="column">
            <wp:posOffset>6015355</wp:posOffset>
          </wp:positionH>
          <wp:positionV relativeFrom="paragraph">
            <wp:posOffset>-258445</wp:posOffset>
          </wp:positionV>
          <wp:extent cx="669290" cy="840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5C111561" w:rsidR="00C72410" w:rsidRPr="00464480" w:rsidRDefault="00C72410" w:rsidP="00600593">
    <w:pPr>
      <w:tabs>
        <w:tab w:val="center" w:pos="5103"/>
        <w:tab w:val="right" w:pos="10489"/>
      </w:tabs>
      <w:rPr>
        <w:sz w:val="16"/>
        <w:szCs w:val="16"/>
      </w:rPr>
    </w:pPr>
    <w:r>
      <w:t>Version 1.</w:t>
    </w:r>
    <w:r w:rsidR="00357B71">
      <w:t>7</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13C4A015" w:rsidR="00564993" w:rsidRDefault="00564993" w:rsidP="00600593">
    <w:pPr>
      <w:tabs>
        <w:tab w:val="center" w:pos="5244"/>
        <w:tab w:val="right" w:pos="10489"/>
      </w:tabs>
      <w:jc w:val="center"/>
    </w:pPr>
    <w:r>
      <w:rPr>
        <w:sz w:val="16"/>
        <w:szCs w:val="16"/>
      </w:rPr>
      <w:t xml:space="preserve">Last update: </w:t>
    </w:r>
    <w:r w:rsidR="00357B71">
      <w:rPr>
        <w:sz w:val="16"/>
        <w:szCs w:val="16"/>
      </w:rPr>
      <w:t>November 2023</w:t>
    </w:r>
  </w:p>
  <w:p w14:paraId="539780E2" w14:textId="77777777" w:rsidR="00C72410" w:rsidRDefault="00C72410">
    <w:pPr>
      <w:pStyle w:val="Footer"/>
    </w:pPr>
  </w:p>
  <w:p w14:paraId="76384A4C" w14:textId="77777777" w:rsidR="00C72410" w:rsidRDefault="00C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B32E" w14:textId="77777777" w:rsidR="00BD33D2" w:rsidRDefault="00BD33D2" w:rsidP="00723663">
      <w:r>
        <w:separator/>
      </w:r>
    </w:p>
  </w:footnote>
  <w:footnote w:type="continuationSeparator" w:id="0">
    <w:p w14:paraId="3D291E77" w14:textId="77777777" w:rsidR="00BD33D2" w:rsidRDefault="00BD33D2"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8" name="Picture 8"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B30F6"/>
    <w:multiLevelType w:val="hybridMultilevel"/>
    <w:tmpl w:val="06261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7" w15:restartNumberingAfterBreak="0">
    <w:nsid w:val="52AA0A7D"/>
    <w:multiLevelType w:val="multilevel"/>
    <w:tmpl w:val="E9B44B6A"/>
    <w:numStyleLink w:val="ListParagraph"/>
  </w:abstractNum>
  <w:abstractNum w:abstractNumId="1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15404675">
    <w:abstractNumId w:val="18"/>
  </w:num>
  <w:num w:numId="2" w16cid:durableId="602152375">
    <w:abstractNumId w:val="5"/>
  </w:num>
  <w:num w:numId="3" w16cid:durableId="413281896">
    <w:abstractNumId w:val="13"/>
  </w:num>
  <w:num w:numId="4" w16cid:durableId="77138179">
    <w:abstractNumId w:val="4"/>
  </w:num>
  <w:num w:numId="5" w16cid:durableId="1940795466">
    <w:abstractNumId w:val="17"/>
  </w:num>
  <w:num w:numId="6" w16cid:durableId="1144154764">
    <w:abstractNumId w:val="6"/>
  </w:num>
  <w:num w:numId="7" w16cid:durableId="1033383209">
    <w:abstractNumId w:val="8"/>
  </w:num>
  <w:num w:numId="8" w16cid:durableId="1705056139">
    <w:abstractNumId w:val="9"/>
  </w:num>
  <w:num w:numId="9" w16cid:durableId="179584556">
    <w:abstractNumId w:val="3"/>
  </w:num>
  <w:num w:numId="10" w16cid:durableId="556740070">
    <w:abstractNumId w:val="15"/>
  </w:num>
  <w:num w:numId="11" w16cid:durableId="1342047278">
    <w:abstractNumId w:val="2"/>
  </w:num>
  <w:num w:numId="12" w16cid:durableId="1387529061">
    <w:abstractNumId w:val="14"/>
  </w:num>
  <w:num w:numId="13" w16cid:durableId="399056677">
    <w:abstractNumId w:val="19"/>
  </w:num>
  <w:num w:numId="14" w16cid:durableId="870800370">
    <w:abstractNumId w:val="0"/>
  </w:num>
  <w:num w:numId="15" w16cid:durableId="1831487019">
    <w:abstractNumId w:val="11"/>
  </w:num>
  <w:num w:numId="16" w16cid:durableId="71707367">
    <w:abstractNumId w:val="7"/>
  </w:num>
  <w:num w:numId="17" w16cid:durableId="209340716">
    <w:abstractNumId w:val="10"/>
  </w:num>
  <w:num w:numId="18" w16cid:durableId="1749696072">
    <w:abstractNumId w:val="16"/>
  </w:num>
  <w:num w:numId="19" w16cid:durableId="52781742">
    <w:abstractNumId w:val="1"/>
  </w:num>
  <w:num w:numId="20" w16cid:durableId="10493022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26381"/>
    <w:rsid w:val="00026DE9"/>
    <w:rsid w:val="000527BA"/>
    <w:rsid w:val="000638C5"/>
    <w:rsid w:val="00064165"/>
    <w:rsid w:val="000A2AB5"/>
    <w:rsid w:val="000B5F0A"/>
    <w:rsid w:val="000D298A"/>
    <w:rsid w:val="000D29BE"/>
    <w:rsid w:val="000D65EE"/>
    <w:rsid w:val="000E093D"/>
    <w:rsid w:val="000E62EF"/>
    <w:rsid w:val="00116B2A"/>
    <w:rsid w:val="001215B8"/>
    <w:rsid w:val="00127C38"/>
    <w:rsid w:val="001364FD"/>
    <w:rsid w:val="00137E83"/>
    <w:rsid w:val="00142153"/>
    <w:rsid w:val="001479BA"/>
    <w:rsid w:val="00154509"/>
    <w:rsid w:val="00155828"/>
    <w:rsid w:val="001669FD"/>
    <w:rsid w:val="00174E88"/>
    <w:rsid w:val="0017554B"/>
    <w:rsid w:val="001927F8"/>
    <w:rsid w:val="001C7BD5"/>
    <w:rsid w:val="001D33E7"/>
    <w:rsid w:val="001E544B"/>
    <w:rsid w:val="001E6C20"/>
    <w:rsid w:val="00215B18"/>
    <w:rsid w:val="00232628"/>
    <w:rsid w:val="00233FC9"/>
    <w:rsid w:val="00272E2D"/>
    <w:rsid w:val="002A3907"/>
    <w:rsid w:val="002C5078"/>
    <w:rsid w:val="002D3993"/>
    <w:rsid w:val="002D707D"/>
    <w:rsid w:val="002D74AA"/>
    <w:rsid w:val="002E044E"/>
    <w:rsid w:val="002F69B3"/>
    <w:rsid w:val="003049E6"/>
    <w:rsid w:val="00306E07"/>
    <w:rsid w:val="003101C7"/>
    <w:rsid w:val="0031672F"/>
    <w:rsid w:val="00316BCD"/>
    <w:rsid w:val="00345686"/>
    <w:rsid w:val="00357B71"/>
    <w:rsid w:val="0036693A"/>
    <w:rsid w:val="00382B6C"/>
    <w:rsid w:val="003A48BD"/>
    <w:rsid w:val="003B7A3F"/>
    <w:rsid w:val="003D7891"/>
    <w:rsid w:val="003E036A"/>
    <w:rsid w:val="003E3532"/>
    <w:rsid w:val="003F789E"/>
    <w:rsid w:val="004017F0"/>
    <w:rsid w:val="00410948"/>
    <w:rsid w:val="00422648"/>
    <w:rsid w:val="004358C2"/>
    <w:rsid w:val="00446BFB"/>
    <w:rsid w:val="00451D5B"/>
    <w:rsid w:val="00461D31"/>
    <w:rsid w:val="004745B8"/>
    <w:rsid w:val="0047551F"/>
    <w:rsid w:val="00480C65"/>
    <w:rsid w:val="004A7229"/>
    <w:rsid w:val="004B00B7"/>
    <w:rsid w:val="004D0C14"/>
    <w:rsid w:val="004D5F4F"/>
    <w:rsid w:val="004F547C"/>
    <w:rsid w:val="0050261F"/>
    <w:rsid w:val="0050629E"/>
    <w:rsid w:val="0052610B"/>
    <w:rsid w:val="00552B85"/>
    <w:rsid w:val="00564993"/>
    <w:rsid w:val="00567DCF"/>
    <w:rsid w:val="005720B9"/>
    <w:rsid w:val="00572D1F"/>
    <w:rsid w:val="005800BE"/>
    <w:rsid w:val="005811D1"/>
    <w:rsid w:val="005971ED"/>
    <w:rsid w:val="005B54F0"/>
    <w:rsid w:val="005B7E6B"/>
    <w:rsid w:val="005C3AA1"/>
    <w:rsid w:val="005C7C74"/>
    <w:rsid w:val="005D0167"/>
    <w:rsid w:val="005D230F"/>
    <w:rsid w:val="005E28C7"/>
    <w:rsid w:val="005E7363"/>
    <w:rsid w:val="006001B8"/>
    <w:rsid w:val="00600593"/>
    <w:rsid w:val="00624C97"/>
    <w:rsid w:val="0062636B"/>
    <w:rsid w:val="0065010A"/>
    <w:rsid w:val="006508BC"/>
    <w:rsid w:val="0066192A"/>
    <w:rsid w:val="0066311F"/>
    <w:rsid w:val="00687C02"/>
    <w:rsid w:val="006950EB"/>
    <w:rsid w:val="006A1683"/>
    <w:rsid w:val="006B3962"/>
    <w:rsid w:val="006C0E44"/>
    <w:rsid w:val="006C4FCD"/>
    <w:rsid w:val="006D5405"/>
    <w:rsid w:val="006D7642"/>
    <w:rsid w:val="006F2DBF"/>
    <w:rsid w:val="00723663"/>
    <w:rsid w:val="0073495D"/>
    <w:rsid w:val="00734F5E"/>
    <w:rsid w:val="007405A4"/>
    <w:rsid w:val="00741209"/>
    <w:rsid w:val="00757F57"/>
    <w:rsid w:val="007756D6"/>
    <w:rsid w:val="00787153"/>
    <w:rsid w:val="007B215D"/>
    <w:rsid w:val="007B21CD"/>
    <w:rsid w:val="007B4146"/>
    <w:rsid w:val="007C38B8"/>
    <w:rsid w:val="008011C6"/>
    <w:rsid w:val="00810D79"/>
    <w:rsid w:val="00834296"/>
    <w:rsid w:val="0083684A"/>
    <w:rsid w:val="00837916"/>
    <w:rsid w:val="00844CD8"/>
    <w:rsid w:val="00862690"/>
    <w:rsid w:val="008832DD"/>
    <w:rsid w:val="008836DE"/>
    <w:rsid w:val="00890B9B"/>
    <w:rsid w:val="00891B5F"/>
    <w:rsid w:val="008A5EF4"/>
    <w:rsid w:val="008C110A"/>
    <w:rsid w:val="008C1FE7"/>
    <w:rsid w:val="008D50BA"/>
    <w:rsid w:val="008E2C24"/>
    <w:rsid w:val="008E473D"/>
    <w:rsid w:val="00903AF7"/>
    <w:rsid w:val="0091290E"/>
    <w:rsid w:val="00935303"/>
    <w:rsid w:val="00937746"/>
    <w:rsid w:val="00953967"/>
    <w:rsid w:val="0096154E"/>
    <w:rsid w:val="00962672"/>
    <w:rsid w:val="00966307"/>
    <w:rsid w:val="009669F8"/>
    <w:rsid w:val="00971B14"/>
    <w:rsid w:val="00977A85"/>
    <w:rsid w:val="0098071F"/>
    <w:rsid w:val="00981D5D"/>
    <w:rsid w:val="009A606B"/>
    <w:rsid w:val="009E20E4"/>
    <w:rsid w:val="009E2F07"/>
    <w:rsid w:val="009E376F"/>
    <w:rsid w:val="009F2D93"/>
    <w:rsid w:val="009F3881"/>
    <w:rsid w:val="00A11238"/>
    <w:rsid w:val="00A15423"/>
    <w:rsid w:val="00A27DFC"/>
    <w:rsid w:val="00A33F0F"/>
    <w:rsid w:val="00A34437"/>
    <w:rsid w:val="00A50716"/>
    <w:rsid w:val="00A5116C"/>
    <w:rsid w:val="00A55A6B"/>
    <w:rsid w:val="00A62D3C"/>
    <w:rsid w:val="00A7453C"/>
    <w:rsid w:val="00A90F2C"/>
    <w:rsid w:val="00AA6F31"/>
    <w:rsid w:val="00AA74A3"/>
    <w:rsid w:val="00AA751D"/>
    <w:rsid w:val="00AB2F2E"/>
    <w:rsid w:val="00AD0F7D"/>
    <w:rsid w:val="00AD4AF0"/>
    <w:rsid w:val="00AF1FD1"/>
    <w:rsid w:val="00B025B0"/>
    <w:rsid w:val="00B119B0"/>
    <w:rsid w:val="00B23013"/>
    <w:rsid w:val="00B30147"/>
    <w:rsid w:val="00B35C6A"/>
    <w:rsid w:val="00B479C1"/>
    <w:rsid w:val="00B5088D"/>
    <w:rsid w:val="00B531DD"/>
    <w:rsid w:val="00B7182D"/>
    <w:rsid w:val="00B730F5"/>
    <w:rsid w:val="00B742E4"/>
    <w:rsid w:val="00BC610A"/>
    <w:rsid w:val="00BD33D2"/>
    <w:rsid w:val="00BE5724"/>
    <w:rsid w:val="00C01916"/>
    <w:rsid w:val="00C15284"/>
    <w:rsid w:val="00C260CC"/>
    <w:rsid w:val="00C41B4E"/>
    <w:rsid w:val="00C4439F"/>
    <w:rsid w:val="00C44995"/>
    <w:rsid w:val="00C525BA"/>
    <w:rsid w:val="00C5799F"/>
    <w:rsid w:val="00C61651"/>
    <w:rsid w:val="00C63B87"/>
    <w:rsid w:val="00C72410"/>
    <w:rsid w:val="00C73FBE"/>
    <w:rsid w:val="00C83666"/>
    <w:rsid w:val="00CB3AC9"/>
    <w:rsid w:val="00CC047A"/>
    <w:rsid w:val="00CC2808"/>
    <w:rsid w:val="00CC4416"/>
    <w:rsid w:val="00CC6337"/>
    <w:rsid w:val="00CE4778"/>
    <w:rsid w:val="00D04923"/>
    <w:rsid w:val="00D35ACC"/>
    <w:rsid w:val="00D35D74"/>
    <w:rsid w:val="00D37334"/>
    <w:rsid w:val="00D43E03"/>
    <w:rsid w:val="00D70647"/>
    <w:rsid w:val="00D707E5"/>
    <w:rsid w:val="00D81532"/>
    <w:rsid w:val="00D82BCA"/>
    <w:rsid w:val="00D85B45"/>
    <w:rsid w:val="00D9169D"/>
    <w:rsid w:val="00D95EE2"/>
    <w:rsid w:val="00DB0DD8"/>
    <w:rsid w:val="00DB59D9"/>
    <w:rsid w:val="00DB600E"/>
    <w:rsid w:val="00DC7A8E"/>
    <w:rsid w:val="00DD4430"/>
    <w:rsid w:val="00DD70F0"/>
    <w:rsid w:val="00DE1DCD"/>
    <w:rsid w:val="00E235FD"/>
    <w:rsid w:val="00E53F75"/>
    <w:rsid w:val="00E71231"/>
    <w:rsid w:val="00E87A8D"/>
    <w:rsid w:val="00E914DC"/>
    <w:rsid w:val="00EB3276"/>
    <w:rsid w:val="00EE47F8"/>
    <w:rsid w:val="00F00E67"/>
    <w:rsid w:val="00F07AF9"/>
    <w:rsid w:val="00F118C3"/>
    <w:rsid w:val="00F13EBF"/>
    <w:rsid w:val="00F62FCC"/>
    <w:rsid w:val="00F647CE"/>
    <w:rsid w:val="00F64E68"/>
    <w:rsid w:val="00F662AF"/>
    <w:rsid w:val="00F76B3C"/>
    <w:rsid w:val="00F77B65"/>
    <w:rsid w:val="00F904D9"/>
    <w:rsid w:val="00FB1630"/>
    <w:rsid w:val="00FB7B3F"/>
    <w:rsid w:val="00FC0BC3"/>
    <w:rsid w:val="00FC7037"/>
    <w:rsid w:val="00FD1621"/>
    <w:rsid w:val="00FD754F"/>
    <w:rsid w:val="00FF09A2"/>
    <w:rsid w:val="00FF0A61"/>
    <w:rsid w:val="00FF5D1A"/>
    <w:rsid w:val="00FF7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97"/>
    <o:shapelayout v:ext="edit">
      <o:idmap v:ext="edit" data="1"/>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1776486927">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image" Target="media/image1.png"/><Relationship Id="rId18" Type="http://schemas.openxmlformats.org/officeDocument/2006/relationships/hyperlink" Target="https://qheps.health.qld.gov.au/smoke-free/quitsmok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qheps.health.qld.gov.au/__data/assets/pdf_file/0035/2801978/strategic-plan.pdf" TargetMode="External"/><Relationship Id="rId17" Type="http://schemas.openxmlformats.org/officeDocument/2006/relationships/hyperlink" Target="https://www.legislation.qld.gov.au/legisltn/current/w/workerscompa0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gov.au/gov/documents/policy/lobbyist-disclosure" TargetMode="Externa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wnsville.health.qld.gov.au/about-us/health-equity/" TargetMode="External"/><Relationship Id="rId23" Type="http://schemas.openxmlformats.org/officeDocument/2006/relationships/footer" Target="footer2.xml"/><Relationship Id="rId10" Type="http://schemas.openxmlformats.org/officeDocument/2006/relationships/hyperlink" Target="https://www.legislation.qld.gov.au/LEGISLTN/CURRENT/W/WorkHSA11.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www.townsville.health.qld.gov.au/"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109</TotalTime>
  <Pages>5</Pages>
  <Words>2005</Words>
  <Characters>12776</Characters>
  <Application>Microsoft Office Word</Application>
  <DocSecurity>0</DocSecurity>
  <Lines>336</Lines>
  <Paragraphs>162</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14619</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Jacinta Mairu</cp:lastModifiedBy>
  <cp:revision>4</cp:revision>
  <cp:lastPrinted>2018-01-31T06:39:00Z</cp:lastPrinted>
  <dcterms:created xsi:type="dcterms:W3CDTF">2024-06-19T23:00:00Z</dcterms:created>
  <dcterms:modified xsi:type="dcterms:W3CDTF">2024-06-20T01:12:00Z</dcterms:modified>
  <cp:category>Role Description</cp:category>
</cp:coreProperties>
</file>