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D915" w14:textId="77777777" w:rsidR="00600593" w:rsidRDefault="003B7A3F" w:rsidP="00600593">
      <w:pPr>
        <w:pStyle w:val="Heading1"/>
        <w:spacing w:before="720"/>
        <w:rPr>
          <w:color w:val="00A1DE" w:themeColor="background2"/>
          <w:sz w:val="48"/>
          <w:szCs w:val="48"/>
        </w:rPr>
      </w:pPr>
      <w:bookmarkStart w:id="0" w:name="CoverTOC"/>
      <w:bookmarkStart w:id="1" w:name="_Toc479691425"/>
      <w:r w:rsidRPr="003B7A3F">
        <w:rPr>
          <w:color w:val="00A1DE" w:themeColor="background2"/>
          <w:sz w:val="48"/>
          <w:szCs w:val="48"/>
        </w:rPr>
        <w:t>Role Description</w:t>
      </w:r>
    </w:p>
    <w:p w14:paraId="031EAA36" w14:textId="7AE55932" w:rsidR="00A7453C" w:rsidRDefault="009229E8" w:rsidP="00600593">
      <w:pPr>
        <w:pStyle w:val="Heading1"/>
        <w:spacing w:before="240"/>
        <w:rPr>
          <w:color w:val="003591" w:themeColor="text2"/>
          <w:sz w:val="36"/>
          <w:szCs w:val="36"/>
          <w:lang w:val="en-AU"/>
        </w:rPr>
      </w:pPr>
      <w:r>
        <w:rPr>
          <w:color w:val="003591" w:themeColor="text2"/>
          <w:sz w:val="36"/>
          <w:szCs w:val="36"/>
          <w:lang w:val="en-AU"/>
        </w:rPr>
        <w:t xml:space="preserve">Senior Registrar or Registrar </w:t>
      </w:r>
      <w:r w:rsidR="00950590">
        <w:rPr>
          <w:color w:val="003591" w:themeColor="text2"/>
          <w:sz w:val="36"/>
          <w:szCs w:val="36"/>
          <w:lang w:val="en-AU"/>
        </w:rPr>
        <w:t>(Colorectal)</w:t>
      </w:r>
    </w:p>
    <w:tbl>
      <w:tblPr>
        <w:tblStyle w:val="TableGrid"/>
        <w:tblW w:w="10485" w:type="dxa"/>
        <w:tblInd w:w="5" w:type="dxa"/>
        <w:tblLook w:val="04A0" w:firstRow="1" w:lastRow="0" w:firstColumn="1" w:lastColumn="0" w:noHBand="0" w:noVBand="1"/>
      </w:tblPr>
      <w:tblGrid>
        <w:gridCol w:w="1696"/>
        <w:gridCol w:w="3261"/>
        <w:gridCol w:w="2127"/>
        <w:gridCol w:w="3401"/>
      </w:tblGrid>
      <w:tr w:rsidR="009E2F07" w14:paraId="03A73D40" w14:textId="77777777" w:rsidTr="00D04923">
        <w:trPr>
          <w:trHeight w:val="486"/>
        </w:trPr>
        <w:tc>
          <w:tcPr>
            <w:tcW w:w="1696" w:type="dxa"/>
          </w:tcPr>
          <w:p w14:paraId="4A749A34"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Reference:</w:t>
            </w:r>
          </w:p>
        </w:tc>
        <w:tc>
          <w:tcPr>
            <w:tcW w:w="3261" w:type="dxa"/>
          </w:tcPr>
          <w:p w14:paraId="764CACC2" w14:textId="29E1FD22" w:rsidR="009E2F07" w:rsidRPr="009E2F07" w:rsidRDefault="009229E8" w:rsidP="00D04923">
            <w:pPr>
              <w:pStyle w:val="BodyText"/>
              <w:spacing w:line="240" w:lineRule="auto"/>
              <w:ind w:right="144"/>
              <w:rPr>
                <w:color w:val="auto"/>
                <w:lang w:val="en-US"/>
              </w:rPr>
            </w:pPr>
            <w:r>
              <w:rPr>
                <w:color w:val="auto"/>
              </w:rPr>
              <w:t>TV571721</w:t>
            </w:r>
          </w:p>
        </w:tc>
        <w:tc>
          <w:tcPr>
            <w:tcW w:w="2127" w:type="dxa"/>
          </w:tcPr>
          <w:p w14:paraId="768C8695" w14:textId="77777777" w:rsidR="009E2F07" w:rsidRPr="00026DE9" w:rsidRDefault="009E2F07" w:rsidP="00D04923">
            <w:pPr>
              <w:pStyle w:val="BodyText"/>
              <w:spacing w:line="240" w:lineRule="auto"/>
              <w:rPr>
                <w:b/>
                <w:color w:val="003591" w:themeColor="text2"/>
                <w:lang w:val="en-US"/>
              </w:rPr>
            </w:pPr>
            <w:r>
              <w:rPr>
                <w:b/>
                <w:color w:val="003591" w:themeColor="text2"/>
                <w:lang w:val="en-US"/>
              </w:rPr>
              <w:t>Position ID:</w:t>
            </w:r>
          </w:p>
        </w:tc>
        <w:tc>
          <w:tcPr>
            <w:tcW w:w="3401" w:type="dxa"/>
          </w:tcPr>
          <w:p w14:paraId="081408EE" w14:textId="526C9565" w:rsidR="009E2F07" w:rsidRPr="009E2F07" w:rsidRDefault="009229E8" w:rsidP="00D04923">
            <w:pPr>
              <w:pStyle w:val="BodyText"/>
              <w:spacing w:line="240" w:lineRule="auto"/>
              <w:rPr>
                <w:color w:val="auto"/>
              </w:rPr>
            </w:pPr>
            <w:r>
              <w:rPr>
                <w:szCs w:val="20"/>
              </w:rPr>
              <w:t>32026761 / 30463489</w:t>
            </w:r>
          </w:p>
        </w:tc>
      </w:tr>
      <w:tr w:rsidR="009E2F07" w14:paraId="415DA31F" w14:textId="77777777" w:rsidTr="00D04923">
        <w:trPr>
          <w:trHeight w:val="471"/>
        </w:trPr>
        <w:tc>
          <w:tcPr>
            <w:tcW w:w="1696" w:type="dxa"/>
          </w:tcPr>
          <w:p w14:paraId="41E568DD"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Role title:</w:t>
            </w:r>
          </w:p>
        </w:tc>
        <w:tc>
          <w:tcPr>
            <w:tcW w:w="3261" w:type="dxa"/>
          </w:tcPr>
          <w:p w14:paraId="18F4AAFF" w14:textId="2E33D7F5" w:rsidR="009E2F07" w:rsidRPr="009E2F07" w:rsidRDefault="009229E8" w:rsidP="00D04923">
            <w:pPr>
              <w:pStyle w:val="BodyText"/>
              <w:spacing w:line="240" w:lineRule="auto"/>
              <w:ind w:right="144"/>
              <w:rPr>
                <w:color w:val="auto"/>
                <w:lang w:val="en-US"/>
              </w:rPr>
            </w:pPr>
            <w:r w:rsidRPr="00810B68">
              <w:rPr>
                <w:color w:val="auto"/>
              </w:rPr>
              <w:t xml:space="preserve">Senior Registrar or Registrar </w:t>
            </w:r>
            <w:r>
              <w:rPr>
                <w:color w:val="auto"/>
              </w:rPr>
              <w:t>(Colorectal)</w:t>
            </w:r>
          </w:p>
        </w:tc>
        <w:tc>
          <w:tcPr>
            <w:tcW w:w="2127" w:type="dxa"/>
          </w:tcPr>
          <w:p w14:paraId="7D50C1C3"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Classification:</w:t>
            </w:r>
          </w:p>
        </w:tc>
        <w:tc>
          <w:tcPr>
            <w:tcW w:w="3401" w:type="dxa"/>
          </w:tcPr>
          <w:p w14:paraId="1E2660D6" w14:textId="155ED4D9" w:rsidR="009E2F07" w:rsidRPr="009E2F07" w:rsidRDefault="009229E8" w:rsidP="00D04923">
            <w:pPr>
              <w:pStyle w:val="BodyText"/>
              <w:spacing w:line="240" w:lineRule="auto"/>
              <w:rPr>
                <w:color w:val="auto"/>
                <w:lang w:val="en-US"/>
              </w:rPr>
            </w:pPr>
            <w:r>
              <w:rPr>
                <w:szCs w:val="20"/>
              </w:rPr>
              <w:t>Registrar (L4 – L9)</w:t>
            </w:r>
            <w:r>
              <w:rPr>
                <w:szCs w:val="20"/>
              </w:rPr>
              <w:br/>
              <w:t>Senior Registrar (L10 – L13)</w:t>
            </w:r>
          </w:p>
        </w:tc>
      </w:tr>
      <w:tr w:rsidR="009E2F07" w14:paraId="3F43B878" w14:textId="77777777" w:rsidTr="00D04923">
        <w:trPr>
          <w:trHeight w:val="471"/>
        </w:trPr>
        <w:tc>
          <w:tcPr>
            <w:tcW w:w="1696" w:type="dxa"/>
          </w:tcPr>
          <w:p w14:paraId="4047AAA3"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Employment status:</w:t>
            </w:r>
          </w:p>
        </w:tc>
        <w:tc>
          <w:tcPr>
            <w:tcW w:w="3261" w:type="dxa"/>
          </w:tcPr>
          <w:p w14:paraId="186A08E8" w14:textId="373E3DD6" w:rsidR="009E2F07" w:rsidRPr="009E2F07" w:rsidRDefault="009229E8" w:rsidP="00D04923">
            <w:pPr>
              <w:pStyle w:val="BodyText"/>
              <w:spacing w:line="240" w:lineRule="auto"/>
              <w:ind w:right="144"/>
              <w:rPr>
                <w:color w:val="auto"/>
                <w:lang w:val="en-US"/>
              </w:rPr>
            </w:pPr>
            <w:r>
              <w:rPr>
                <w:color w:val="auto"/>
              </w:rPr>
              <w:t>Fixed term temporary part time 38 hours per fortnight from 03/02/2025 up to 01.02.2026.</w:t>
            </w:r>
          </w:p>
        </w:tc>
        <w:tc>
          <w:tcPr>
            <w:tcW w:w="2127" w:type="dxa"/>
          </w:tcPr>
          <w:p w14:paraId="36E47004"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Salary:</w:t>
            </w:r>
          </w:p>
        </w:tc>
        <w:tc>
          <w:tcPr>
            <w:tcW w:w="3401" w:type="dxa"/>
          </w:tcPr>
          <w:p w14:paraId="33BD13CB" w14:textId="77777777" w:rsidR="009229E8" w:rsidRDefault="009229E8" w:rsidP="009229E8">
            <w:pPr>
              <w:pStyle w:val="BodyText"/>
              <w:spacing w:line="240" w:lineRule="auto"/>
              <w:rPr>
                <w:color w:val="auto"/>
              </w:rPr>
            </w:pPr>
            <w:r>
              <w:rPr>
                <w:color w:val="auto"/>
              </w:rPr>
              <w:t>$63.45 – $73.56</w:t>
            </w:r>
            <w:r>
              <w:rPr>
                <w:color w:val="auto"/>
              </w:rPr>
              <w:br/>
              <w:t>per hour (L4-L9)</w:t>
            </w:r>
          </w:p>
          <w:p w14:paraId="74AA2B15" w14:textId="77AD24B7" w:rsidR="009E2F07" w:rsidRPr="009E2F07" w:rsidRDefault="009229E8" w:rsidP="009229E8">
            <w:pPr>
              <w:pStyle w:val="BodyText"/>
              <w:spacing w:line="240" w:lineRule="auto"/>
              <w:rPr>
                <w:color w:val="auto"/>
                <w:lang w:val="en-US"/>
              </w:rPr>
            </w:pPr>
            <w:r>
              <w:rPr>
                <w:color w:val="auto"/>
              </w:rPr>
              <w:t xml:space="preserve">$76.87 – $84.71 </w:t>
            </w:r>
            <w:r>
              <w:rPr>
                <w:color w:val="auto"/>
              </w:rPr>
              <w:br/>
            </w:r>
            <w:r w:rsidRPr="007405A4">
              <w:rPr>
                <w:color w:val="auto"/>
              </w:rPr>
              <w:t xml:space="preserve">per </w:t>
            </w:r>
            <w:r>
              <w:rPr>
                <w:color w:val="auto"/>
              </w:rPr>
              <w:t>hour (L10-L13)</w:t>
            </w:r>
          </w:p>
        </w:tc>
      </w:tr>
      <w:tr w:rsidR="007405A4" w14:paraId="12BD4723" w14:textId="77777777" w:rsidTr="00D04923">
        <w:trPr>
          <w:trHeight w:val="453"/>
        </w:trPr>
        <w:tc>
          <w:tcPr>
            <w:tcW w:w="1696" w:type="dxa"/>
            <w:vMerge w:val="restart"/>
          </w:tcPr>
          <w:p w14:paraId="2408A68B" w14:textId="77777777" w:rsidR="007405A4" w:rsidRPr="00026DE9" w:rsidRDefault="007405A4" w:rsidP="00D04923">
            <w:pPr>
              <w:pStyle w:val="BodyText"/>
              <w:spacing w:line="240" w:lineRule="auto"/>
              <w:rPr>
                <w:b/>
                <w:color w:val="003591" w:themeColor="text2"/>
                <w:lang w:val="en-US"/>
              </w:rPr>
            </w:pPr>
            <w:r w:rsidRPr="00026DE9">
              <w:rPr>
                <w:b/>
                <w:color w:val="003591" w:themeColor="text2"/>
                <w:lang w:val="en-US"/>
              </w:rPr>
              <w:t>Unit/ Branch:</w:t>
            </w:r>
          </w:p>
        </w:tc>
        <w:tc>
          <w:tcPr>
            <w:tcW w:w="3261" w:type="dxa"/>
            <w:vMerge w:val="restart"/>
          </w:tcPr>
          <w:p w14:paraId="6DD9C32C" w14:textId="77777777" w:rsidR="009229E8" w:rsidRDefault="009229E8" w:rsidP="009229E8">
            <w:pPr>
              <w:pStyle w:val="BodyText"/>
              <w:spacing w:line="240" w:lineRule="auto"/>
              <w:ind w:right="144"/>
              <w:rPr>
                <w:rFonts w:cs="Arial"/>
              </w:rPr>
            </w:pPr>
            <w:r>
              <w:rPr>
                <w:rFonts w:cs="Arial"/>
              </w:rPr>
              <w:t>General Surgery</w:t>
            </w:r>
          </w:p>
          <w:p w14:paraId="78329E15" w14:textId="562173D5" w:rsidR="007405A4" w:rsidRPr="009E2F07" w:rsidRDefault="009229E8" w:rsidP="009229E8">
            <w:pPr>
              <w:pStyle w:val="BodyText"/>
              <w:spacing w:line="240" w:lineRule="auto"/>
              <w:ind w:right="144"/>
              <w:rPr>
                <w:color w:val="auto"/>
              </w:rPr>
            </w:pPr>
            <w:r>
              <w:rPr>
                <w:rFonts w:cs="Arial"/>
              </w:rPr>
              <w:t>Surgical Service Group</w:t>
            </w:r>
          </w:p>
        </w:tc>
        <w:tc>
          <w:tcPr>
            <w:tcW w:w="2127" w:type="dxa"/>
          </w:tcPr>
          <w:p w14:paraId="48E78430" w14:textId="77777777" w:rsidR="007405A4" w:rsidRPr="00026DE9" w:rsidRDefault="007405A4" w:rsidP="00D04923">
            <w:pPr>
              <w:pStyle w:val="BodyText"/>
              <w:spacing w:line="240" w:lineRule="auto"/>
              <w:rPr>
                <w:b/>
                <w:color w:val="003591" w:themeColor="text2"/>
                <w:lang w:val="en-US"/>
              </w:rPr>
            </w:pPr>
            <w:r>
              <w:rPr>
                <w:b/>
                <w:color w:val="003591" w:themeColor="text2"/>
                <w:lang w:val="en-US"/>
              </w:rPr>
              <w:t>Contact Name</w:t>
            </w:r>
            <w:r w:rsidRPr="00026DE9">
              <w:rPr>
                <w:b/>
                <w:color w:val="003591" w:themeColor="text2"/>
                <w:lang w:val="en-US"/>
              </w:rPr>
              <w:t>:</w:t>
            </w:r>
          </w:p>
        </w:tc>
        <w:tc>
          <w:tcPr>
            <w:tcW w:w="3401" w:type="dxa"/>
          </w:tcPr>
          <w:p w14:paraId="74C70950" w14:textId="53060819" w:rsidR="007405A4" w:rsidRPr="00C82A52" w:rsidRDefault="009229E8" w:rsidP="00D04923">
            <w:pPr>
              <w:spacing w:before="120" w:after="120"/>
              <w:rPr>
                <w:szCs w:val="20"/>
              </w:rPr>
            </w:pPr>
            <w:r>
              <w:t>Michellina Davies</w:t>
            </w:r>
          </w:p>
        </w:tc>
      </w:tr>
      <w:tr w:rsidR="007405A4" w14:paraId="66DD5732" w14:textId="77777777" w:rsidTr="00D04923">
        <w:trPr>
          <w:trHeight w:val="486"/>
        </w:trPr>
        <w:tc>
          <w:tcPr>
            <w:tcW w:w="1696" w:type="dxa"/>
            <w:vMerge/>
          </w:tcPr>
          <w:p w14:paraId="025ED3F9" w14:textId="77777777" w:rsidR="007405A4" w:rsidRPr="00026DE9" w:rsidRDefault="007405A4" w:rsidP="00D04923">
            <w:pPr>
              <w:pStyle w:val="BodyText"/>
              <w:spacing w:line="240" w:lineRule="auto"/>
              <w:rPr>
                <w:b/>
                <w:color w:val="003591" w:themeColor="text2"/>
                <w:lang w:val="en-US"/>
              </w:rPr>
            </w:pPr>
          </w:p>
        </w:tc>
        <w:tc>
          <w:tcPr>
            <w:tcW w:w="3261" w:type="dxa"/>
            <w:vMerge/>
          </w:tcPr>
          <w:p w14:paraId="0AF6AB29" w14:textId="77777777" w:rsidR="007405A4" w:rsidRPr="009E2F07" w:rsidRDefault="007405A4" w:rsidP="00D04923">
            <w:pPr>
              <w:pStyle w:val="BodyText"/>
              <w:spacing w:line="240" w:lineRule="auto"/>
              <w:ind w:right="144"/>
              <w:rPr>
                <w:color w:val="auto"/>
              </w:rPr>
            </w:pPr>
          </w:p>
        </w:tc>
        <w:tc>
          <w:tcPr>
            <w:tcW w:w="2127" w:type="dxa"/>
          </w:tcPr>
          <w:p w14:paraId="3411041D" w14:textId="77777777" w:rsidR="007405A4" w:rsidRDefault="007405A4" w:rsidP="00D04923">
            <w:pPr>
              <w:pStyle w:val="BodyText"/>
              <w:spacing w:line="240" w:lineRule="auto"/>
              <w:rPr>
                <w:b/>
                <w:color w:val="003591" w:themeColor="text2"/>
                <w:lang w:val="en-US"/>
              </w:rPr>
            </w:pPr>
            <w:r>
              <w:rPr>
                <w:b/>
                <w:color w:val="003591" w:themeColor="text2"/>
                <w:lang w:val="en-US"/>
              </w:rPr>
              <w:t>Contact Number:</w:t>
            </w:r>
          </w:p>
        </w:tc>
        <w:tc>
          <w:tcPr>
            <w:tcW w:w="3401" w:type="dxa"/>
          </w:tcPr>
          <w:p w14:paraId="0BD78A32" w14:textId="4697F2E1" w:rsidR="007405A4" w:rsidRPr="00C82A52" w:rsidRDefault="009229E8" w:rsidP="00D04923">
            <w:pPr>
              <w:spacing w:before="120" w:after="120"/>
              <w:rPr>
                <w:szCs w:val="20"/>
              </w:rPr>
            </w:pPr>
            <w:r>
              <w:rPr>
                <w:szCs w:val="20"/>
              </w:rPr>
              <w:t xml:space="preserve">07 4433 </w:t>
            </w:r>
            <w:r>
              <w:t>3564</w:t>
            </w:r>
          </w:p>
        </w:tc>
      </w:tr>
      <w:tr w:rsidR="009E2F07" w14:paraId="02A2AEEB" w14:textId="77777777" w:rsidTr="00D04923">
        <w:trPr>
          <w:trHeight w:val="486"/>
        </w:trPr>
        <w:tc>
          <w:tcPr>
            <w:tcW w:w="1696" w:type="dxa"/>
          </w:tcPr>
          <w:p w14:paraId="5467161B"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Location:</w:t>
            </w:r>
          </w:p>
        </w:tc>
        <w:tc>
          <w:tcPr>
            <w:tcW w:w="3261" w:type="dxa"/>
          </w:tcPr>
          <w:p w14:paraId="11C7F269" w14:textId="23EC3032" w:rsidR="009E2F07" w:rsidRPr="009E2F07" w:rsidRDefault="00950590" w:rsidP="00D04923">
            <w:pPr>
              <w:pStyle w:val="BodyText"/>
              <w:spacing w:line="240" w:lineRule="auto"/>
              <w:ind w:right="144"/>
              <w:rPr>
                <w:color w:val="auto"/>
                <w:lang w:val="en-US"/>
              </w:rPr>
            </w:pPr>
            <w:r>
              <w:rPr>
                <w:color w:val="auto"/>
              </w:rPr>
              <w:t>Townsville University Hospital</w:t>
            </w:r>
          </w:p>
        </w:tc>
        <w:tc>
          <w:tcPr>
            <w:tcW w:w="2127" w:type="dxa"/>
          </w:tcPr>
          <w:p w14:paraId="3EAB6F80"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w:t>
            </w:r>
            <w:r>
              <w:rPr>
                <w:b/>
                <w:color w:val="003591" w:themeColor="text2"/>
                <w:lang w:val="en-US"/>
              </w:rPr>
              <w:t>losing Date</w:t>
            </w:r>
            <w:r w:rsidRPr="00026DE9">
              <w:rPr>
                <w:b/>
                <w:color w:val="003591" w:themeColor="text2"/>
                <w:lang w:val="en-US"/>
              </w:rPr>
              <w:t>:</w:t>
            </w:r>
          </w:p>
        </w:tc>
        <w:tc>
          <w:tcPr>
            <w:tcW w:w="3401" w:type="dxa"/>
          </w:tcPr>
          <w:p w14:paraId="4C7A15C9" w14:textId="61E8B3FA" w:rsidR="00CC6337" w:rsidRPr="009E2F07" w:rsidRDefault="000E3B79" w:rsidP="00410948">
            <w:pPr>
              <w:pStyle w:val="BodyText"/>
              <w:spacing w:line="240" w:lineRule="auto"/>
              <w:rPr>
                <w:color w:val="auto"/>
                <w:lang w:val="en-US"/>
              </w:rPr>
            </w:pPr>
            <w:r>
              <w:rPr>
                <w:color w:val="auto"/>
              </w:rPr>
              <w:t xml:space="preserve">Thursday, 1 August 2024 </w:t>
            </w:r>
          </w:p>
        </w:tc>
      </w:tr>
    </w:tbl>
    <w:p w14:paraId="361D1A41" w14:textId="54F3A58A" w:rsidR="00B30147" w:rsidRPr="00CC6337" w:rsidRDefault="00B30147" w:rsidP="00CC6337">
      <w:pPr>
        <w:pStyle w:val="Heading1"/>
        <w:spacing w:before="240" w:after="120"/>
        <w:rPr>
          <w:sz w:val="24"/>
          <w:szCs w:val="24"/>
        </w:rPr>
      </w:pPr>
      <w:r w:rsidRPr="00CC6337">
        <w:rPr>
          <w:sz w:val="24"/>
          <w:szCs w:val="24"/>
        </w:rPr>
        <w:t xml:space="preserve">The </w:t>
      </w:r>
      <w:r w:rsidR="00DC7A8E">
        <w:rPr>
          <w:sz w:val="24"/>
          <w:szCs w:val="24"/>
        </w:rPr>
        <w:t>o</w:t>
      </w:r>
      <w:r w:rsidRPr="00CC6337">
        <w:rPr>
          <w:sz w:val="24"/>
          <w:szCs w:val="24"/>
        </w:rPr>
        <w:t>pportunity</w:t>
      </w:r>
    </w:p>
    <w:p w14:paraId="0CD481F1" w14:textId="77777777" w:rsidR="00950590" w:rsidRDefault="00950590" w:rsidP="00BF703B">
      <w:pPr>
        <w:spacing w:after="240"/>
        <w:jc w:val="both"/>
        <w:rPr>
          <w:rFonts w:eastAsia="Times New Roman"/>
          <w:lang w:eastAsia="en-AU"/>
        </w:rPr>
      </w:pPr>
      <w:r>
        <w:rPr>
          <w:rFonts w:eastAsia="Times New Roman"/>
        </w:rPr>
        <w:t>This is an excellent opportunity for an enthusiastic General Surgeon who is preparing for a future application to the Australia and New Zealand Training Board in Colon and Rectal Surgery (ANZTBCRS) for formal training to become a Colorectal Surgeon.</w:t>
      </w:r>
    </w:p>
    <w:p w14:paraId="4F89A14A" w14:textId="77777777" w:rsidR="00950590" w:rsidRDefault="00950590" w:rsidP="00BF703B">
      <w:pPr>
        <w:spacing w:after="240"/>
        <w:jc w:val="both"/>
        <w:rPr>
          <w:rFonts w:eastAsia="Times New Roman"/>
        </w:rPr>
      </w:pPr>
      <w:r>
        <w:rPr>
          <w:rFonts w:eastAsia="Times New Roman"/>
        </w:rPr>
        <w:t>This is a high-volume, 12-month clinical fellowship in colorectal surgery in Townsville University Hospital with abundant opportunity to develop an academic career in colorectal surgery. The successful candidate will also be encouraged to complete a Master of Philosophy by publication at the James Cook University.</w:t>
      </w:r>
    </w:p>
    <w:p w14:paraId="6DFD6A33" w14:textId="0E5438AC" w:rsidR="00950590" w:rsidRDefault="00950590" w:rsidP="00BF703B">
      <w:pPr>
        <w:spacing w:after="240"/>
        <w:jc w:val="both"/>
        <w:rPr>
          <w:rFonts w:eastAsia="Times New Roman"/>
        </w:rPr>
      </w:pPr>
      <w:r>
        <w:rPr>
          <w:rFonts w:eastAsia="Times New Roman"/>
        </w:rPr>
        <w:t>This is an expanding and collegiate unit.</w:t>
      </w:r>
      <w:r w:rsidR="00B25DA6">
        <w:rPr>
          <w:rFonts w:eastAsia="Times New Roman"/>
        </w:rPr>
        <w:t xml:space="preserve"> </w:t>
      </w:r>
      <w:r>
        <w:rPr>
          <w:rFonts w:eastAsia="Times New Roman"/>
        </w:rPr>
        <w:t xml:space="preserve">Currently, there are </w:t>
      </w:r>
      <w:r w:rsidR="000E4B69">
        <w:rPr>
          <w:rFonts w:eastAsia="Times New Roman"/>
        </w:rPr>
        <w:t>two</w:t>
      </w:r>
      <w:r>
        <w:rPr>
          <w:rFonts w:eastAsia="Times New Roman"/>
        </w:rPr>
        <w:t xml:space="preserve"> consultant colorectal surgeons </w:t>
      </w:r>
      <w:r w:rsidR="004D2377">
        <w:rPr>
          <w:rFonts w:eastAsia="Times New Roman"/>
        </w:rPr>
        <w:t xml:space="preserve">(Dr Chrispen Mushaya and A/Prof Shinichiro Sakata) </w:t>
      </w:r>
      <w:r>
        <w:rPr>
          <w:rFonts w:eastAsia="Times New Roman"/>
        </w:rPr>
        <w:t>who are full members of the Colorectal Surgical Society of Australia and New Zealand (CSSANZ), one senior SET registrar in General Surgery, one non-accredited registrar, one resident and two surgical interns.</w:t>
      </w:r>
    </w:p>
    <w:p w14:paraId="06EAD758" w14:textId="77777777" w:rsidR="00950590" w:rsidRPr="0071250C" w:rsidRDefault="00950590" w:rsidP="00950590">
      <w:pPr>
        <w:spacing w:after="240"/>
        <w:rPr>
          <w:rFonts w:eastAsia="Times New Roman"/>
          <w:b/>
          <w:bCs/>
        </w:rPr>
      </w:pPr>
      <w:r w:rsidRPr="0071250C">
        <w:rPr>
          <w:rFonts w:eastAsia="Times New Roman"/>
          <w:b/>
          <w:bCs/>
        </w:rPr>
        <w:t>Work Expectations</w:t>
      </w:r>
    </w:p>
    <w:p w14:paraId="7A540E8D" w14:textId="667E734A" w:rsidR="00950590" w:rsidRPr="0071250C" w:rsidRDefault="00950590" w:rsidP="000A7694">
      <w:pPr>
        <w:numPr>
          <w:ilvl w:val="0"/>
          <w:numId w:val="12"/>
        </w:numPr>
        <w:tabs>
          <w:tab w:val="num" w:pos="720"/>
        </w:tabs>
        <w:spacing w:before="120" w:after="120"/>
        <w:jc w:val="both"/>
        <w:rPr>
          <w:noProof/>
          <w:color w:val="000000"/>
          <w:szCs w:val="20"/>
        </w:rPr>
      </w:pPr>
      <w:r w:rsidRPr="00454F24">
        <w:rPr>
          <w:rFonts w:eastAsia="Times New Roman"/>
        </w:rPr>
        <w:t xml:space="preserve">This </w:t>
      </w:r>
      <w:r w:rsidRPr="0071250C">
        <w:rPr>
          <w:noProof/>
          <w:color w:val="000000"/>
          <w:szCs w:val="20"/>
        </w:rPr>
        <w:t xml:space="preserve">well-supported position will allow the fellow to develop advanced clinical management and surgical skills in </w:t>
      </w:r>
      <w:r w:rsidR="000A7694">
        <w:rPr>
          <w:noProof/>
          <w:color w:val="000000"/>
          <w:szCs w:val="20"/>
        </w:rPr>
        <w:t xml:space="preserve">a broad range </w:t>
      </w:r>
      <w:r w:rsidRPr="0071250C">
        <w:rPr>
          <w:noProof/>
          <w:color w:val="000000"/>
          <w:szCs w:val="20"/>
        </w:rPr>
        <w:t xml:space="preserve">of colorectal surgery. The </w:t>
      </w:r>
      <w:r w:rsidR="000A7694">
        <w:rPr>
          <w:noProof/>
          <w:color w:val="000000"/>
          <w:szCs w:val="20"/>
        </w:rPr>
        <w:t>f</w:t>
      </w:r>
      <w:r w:rsidRPr="0071250C">
        <w:rPr>
          <w:noProof/>
          <w:color w:val="000000"/>
          <w:szCs w:val="20"/>
        </w:rPr>
        <w:t>ellow’s weekly timetable will be split between providing clinical support as well as undertake research and be involved in educational development and leadership.</w:t>
      </w:r>
    </w:p>
    <w:p w14:paraId="05BF3149" w14:textId="4BBC028D" w:rsidR="00950590" w:rsidRDefault="00950590" w:rsidP="000A7694">
      <w:pPr>
        <w:numPr>
          <w:ilvl w:val="0"/>
          <w:numId w:val="12"/>
        </w:numPr>
        <w:tabs>
          <w:tab w:val="num" w:pos="720"/>
        </w:tabs>
        <w:spacing w:before="120" w:after="120"/>
        <w:jc w:val="both"/>
        <w:rPr>
          <w:noProof/>
          <w:color w:val="000000"/>
          <w:szCs w:val="20"/>
        </w:rPr>
      </w:pPr>
      <w:r w:rsidRPr="0071250C">
        <w:rPr>
          <w:noProof/>
          <w:color w:val="000000"/>
          <w:szCs w:val="20"/>
        </w:rPr>
        <w:t>The position is part-time (0.5FTE) but the</w:t>
      </w:r>
      <w:r w:rsidR="00020359">
        <w:rPr>
          <w:noProof/>
          <w:color w:val="000000"/>
          <w:szCs w:val="20"/>
        </w:rPr>
        <w:t xml:space="preserve"> fellow’s</w:t>
      </w:r>
      <w:r w:rsidRPr="0071250C">
        <w:rPr>
          <w:noProof/>
          <w:color w:val="000000"/>
          <w:szCs w:val="20"/>
        </w:rPr>
        <w:t xml:space="preserve"> salary will be supplemented with private assisting </w:t>
      </w:r>
      <w:r w:rsidR="004D2377">
        <w:rPr>
          <w:noProof/>
          <w:color w:val="000000"/>
          <w:szCs w:val="20"/>
        </w:rPr>
        <w:t>fees. P</w:t>
      </w:r>
      <w:r w:rsidR="000A7694">
        <w:rPr>
          <w:noProof/>
          <w:color w:val="000000"/>
          <w:szCs w:val="20"/>
        </w:rPr>
        <w:t xml:space="preserve">ay </w:t>
      </w:r>
      <w:r w:rsidRPr="0071250C">
        <w:rPr>
          <w:noProof/>
          <w:color w:val="000000"/>
          <w:szCs w:val="20"/>
        </w:rPr>
        <w:t>is expected to be equivalent to full-time.</w:t>
      </w:r>
      <w:r w:rsidR="00BF703B">
        <w:rPr>
          <w:noProof/>
          <w:color w:val="000000"/>
          <w:szCs w:val="20"/>
        </w:rPr>
        <w:t xml:space="preserve"> </w:t>
      </w:r>
    </w:p>
    <w:p w14:paraId="27A6BEF1" w14:textId="10E22DE5" w:rsidR="000A7694" w:rsidRDefault="000A7694" w:rsidP="000A7694">
      <w:pPr>
        <w:spacing w:before="120" w:after="120"/>
        <w:ind w:left="360"/>
        <w:jc w:val="both"/>
        <w:rPr>
          <w:noProof/>
          <w:color w:val="000000"/>
          <w:szCs w:val="20"/>
        </w:rPr>
      </w:pPr>
      <w:r w:rsidRPr="000A7694">
        <w:rPr>
          <w:noProof/>
          <w:color w:val="000000"/>
          <w:szCs w:val="20"/>
        </w:rPr>
        <w:t xml:space="preserve">This is an excellent opportunity for </w:t>
      </w:r>
      <w:r w:rsidR="00020359">
        <w:rPr>
          <w:noProof/>
          <w:color w:val="000000"/>
          <w:szCs w:val="20"/>
        </w:rPr>
        <w:t>those w</w:t>
      </w:r>
      <w:r w:rsidRPr="000A7694">
        <w:rPr>
          <w:noProof/>
          <w:color w:val="000000"/>
          <w:szCs w:val="20"/>
        </w:rPr>
        <w:t xml:space="preserve">ho desire a strong clinical and operative foundation in colorectal surgery. </w:t>
      </w:r>
      <w:r>
        <w:rPr>
          <w:noProof/>
          <w:color w:val="000000"/>
          <w:szCs w:val="20"/>
        </w:rPr>
        <w:t xml:space="preserve">Dedicated and supervised </w:t>
      </w:r>
      <w:r w:rsidR="00B25DA6">
        <w:rPr>
          <w:noProof/>
          <w:color w:val="000000"/>
          <w:szCs w:val="20"/>
        </w:rPr>
        <w:t xml:space="preserve">teaching </w:t>
      </w:r>
      <w:r>
        <w:rPr>
          <w:noProof/>
          <w:color w:val="000000"/>
          <w:szCs w:val="20"/>
        </w:rPr>
        <w:t xml:space="preserve">of our colorectal fellow occurs in both the public </w:t>
      </w:r>
      <w:r w:rsidR="004D2377">
        <w:rPr>
          <w:noProof/>
          <w:color w:val="000000"/>
          <w:szCs w:val="20"/>
        </w:rPr>
        <w:t>and private sectors.</w:t>
      </w:r>
      <w:r>
        <w:rPr>
          <w:noProof/>
          <w:color w:val="000000"/>
          <w:szCs w:val="20"/>
        </w:rPr>
        <w:t xml:space="preserve"> </w:t>
      </w:r>
    </w:p>
    <w:p w14:paraId="12D26CF4" w14:textId="77777777" w:rsidR="00950590" w:rsidRDefault="00950590" w:rsidP="000A7694">
      <w:pPr>
        <w:spacing w:before="120" w:after="120"/>
        <w:ind w:left="360"/>
        <w:jc w:val="both"/>
        <w:rPr>
          <w:noProof/>
          <w:color w:val="000000"/>
          <w:szCs w:val="20"/>
        </w:rPr>
      </w:pPr>
      <w:r w:rsidRPr="0071250C">
        <w:rPr>
          <w:noProof/>
          <w:color w:val="000000"/>
          <w:szCs w:val="20"/>
        </w:rPr>
        <w:t>Exposure to the robotic platform occurs in the private sector.</w:t>
      </w:r>
    </w:p>
    <w:p w14:paraId="1EF6DD97" w14:textId="5175B936" w:rsidR="000E4B69" w:rsidRDefault="00D42086" w:rsidP="000A7694">
      <w:pPr>
        <w:spacing w:before="120" w:after="120"/>
        <w:ind w:left="360"/>
        <w:jc w:val="both"/>
        <w:rPr>
          <w:noProof/>
          <w:color w:val="000000"/>
          <w:szCs w:val="20"/>
        </w:rPr>
      </w:pPr>
      <w:r>
        <w:rPr>
          <w:noProof/>
          <w:color w:val="000000"/>
          <w:szCs w:val="20"/>
        </w:rPr>
        <w:t xml:space="preserve">Our </w:t>
      </w:r>
      <w:r w:rsidR="000E4B69">
        <w:rPr>
          <w:noProof/>
          <w:color w:val="000000"/>
          <w:szCs w:val="20"/>
        </w:rPr>
        <w:t xml:space="preserve">Unit has sent </w:t>
      </w:r>
      <w:r>
        <w:rPr>
          <w:noProof/>
          <w:color w:val="000000"/>
          <w:szCs w:val="20"/>
        </w:rPr>
        <w:t xml:space="preserve">our current colorectal fellow for </w:t>
      </w:r>
      <w:r w:rsidR="000E4B69" w:rsidRPr="000E4B69">
        <w:rPr>
          <w:noProof/>
          <w:color w:val="000000"/>
          <w:szCs w:val="20"/>
        </w:rPr>
        <w:t>formal wet-lab training at the Royal Prince Alfred Hospital Training Institute for Robotic Surgery</w:t>
      </w:r>
      <w:r w:rsidR="00395636">
        <w:rPr>
          <w:noProof/>
          <w:color w:val="000000"/>
          <w:szCs w:val="20"/>
        </w:rPr>
        <w:t xml:space="preserve">. </w:t>
      </w:r>
      <w:r w:rsidR="000E4B69" w:rsidRPr="000E4B69">
        <w:rPr>
          <w:noProof/>
          <w:color w:val="000000"/>
          <w:szCs w:val="20"/>
        </w:rPr>
        <w:t>Th</w:t>
      </w:r>
      <w:r w:rsidR="000E4B69">
        <w:rPr>
          <w:noProof/>
          <w:color w:val="000000"/>
          <w:szCs w:val="20"/>
        </w:rPr>
        <w:t xml:space="preserve">is </w:t>
      </w:r>
      <w:r w:rsidR="00B25DA6">
        <w:rPr>
          <w:noProof/>
          <w:color w:val="000000"/>
          <w:szCs w:val="20"/>
        </w:rPr>
        <w:t xml:space="preserve">has allowed </w:t>
      </w:r>
      <w:r w:rsidR="00020359">
        <w:rPr>
          <w:noProof/>
          <w:color w:val="000000"/>
          <w:szCs w:val="20"/>
        </w:rPr>
        <w:t xml:space="preserve">our fellow </w:t>
      </w:r>
      <w:r w:rsidR="000E4B69" w:rsidRPr="000E4B69">
        <w:rPr>
          <w:noProof/>
          <w:color w:val="000000"/>
          <w:szCs w:val="20"/>
        </w:rPr>
        <w:t xml:space="preserve">to </w:t>
      </w:r>
      <w:r w:rsidR="00B25DA6">
        <w:rPr>
          <w:noProof/>
          <w:color w:val="000000"/>
          <w:szCs w:val="20"/>
        </w:rPr>
        <w:t xml:space="preserve">learn </w:t>
      </w:r>
      <w:r w:rsidR="00020359">
        <w:rPr>
          <w:noProof/>
          <w:color w:val="000000"/>
          <w:szCs w:val="20"/>
        </w:rPr>
        <w:t xml:space="preserve">robotic colorectal surgery </w:t>
      </w:r>
      <w:r w:rsidR="000E4B69" w:rsidRPr="000E4B69">
        <w:rPr>
          <w:noProof/>
          <w:color w:val="000000"/>
          <w:szCs w:val="20"/>
        </w:rPr>
        <w:t xml:space="preserve">under </w:t>
      </w:r>
      <w:r w:rsidR="00B25DA6">
        <w:rPr>
          <w:noProof/>
          <w:color w:val="000000"/>
          <w:szCs w:val="20"/>
        </w:rPr>
        <w:t xml:space="preserve">our </w:t>
      </w:r>
      <w:r w:rsidR="000E4B69" w:rsidRPr="000E4B69">
        <w:rPr>
          <w:noProof/>
          <w:color w:val="000000"/>
          <w:szCs w:val="20"/>
        </w:rPr>
        <w:t>supervision</w:t>
      </w:r>
      <w:r w:rsidR="00B25DA6">
        <w:rPr>
          <w:noProof/>
          <w:color w:val="000000"/>
          <w:szCs w:val="20"/>
        </w:rPr>
        <w:t xml:space="preserve"> in the private sector</w:t>
      </w:r>
      <w:r w:rsidR="000E4B69" w:rsidRPr="000E4B69">
        <w:rPr>
          <w:noProof/>
          <w:color w:val="000000"/>
          <w:szCs w:val="20"/>
        </w:rPr>
        <w:t xml:space="preserve">. </w:t>
      </w:r>
    </w:p>
    <w:p w14:paraId="2DAA7F4B" w14:textId="681594B5" w:rsidR="00950590" w:rsidRPr="000E4B69" w:rsidRDefault="00950590" w:rsidP="000A7694">
      <w:pPr>
        <w:pStyle w:val="ListParagraph0"/>
        <w:numPr>
          <w:ilvl w:val="0"/>
          <w:numId w:val="12"/>
        </w:numPr>
        <w:jc w:val="both"/>
        <w:rPr>
          <w:rFonts w:eastAsia="Times New Roman"/>
        </w:rPr>
      </w:pPr>
      <w:r w:rsidRPr="000E4B69">
        <w:rPr>
          <w:noProof/>
          <w:szCs w:val="20"/>
        </w:rPr>
        <w:t>First on call</w:t>
      </w:r>
      <w:r w:rsidRPr="000E4B69">
        <w:rPr>
          <w:rFonts w:eastAsia="Times New Roman"/>
        </w:rPr>
        <w:t xml:space="preserve"> for Acute general surgery not more than 1 weeknight each week and 1 weekend in 4.</w:t>
      </w:r>
    </w:p>
    <w:p w14:paraId="00A4BDA3" w14:textId="77777777" w:rsidR="00950590" w:rsidRPr="0071250C" w:rsidRDefault="00950590" w:rsidP="000A7694">
      <w:pPr>
        <w:spacing w:before="240" w:after="240"/>
        <w:jc w:val="both"/>
        <w:rPr>
          <w:rFonts w:eastAsia="Times New Roman"/>
          <w:b/>
          <w:bCs/>
        </w:rPr>
      </w:pPr>
      <w:r w:rsidRPr="0071250C">
        <w:rPr>
          <w:rFonts w:eastAsia="Times New Roman"/>
          <w:b/>
          <w:bCs/>
        </w:rPr>
        <w:t>Research Expectations</w:t>
      </w:r>
    </w:p>
    <w:p w14:paraId="4B0BB9F5" w14:textId="77777777" w:rsidR="00950590" w:rsidRPr="0071250C" w:rsidRDefault="00950590" w:rsidP="000A7694">
      <w:pPr>
        <w:numPr>
          <w:ilvl w:val="0"/>
          <w:numId w:val="12"/>
        </w:numPr>
        <w:tabs>
          <w:tab w:val="num" w:pos="720"/>
        </w:tabs>
        <w:spacing w:before="120" w:after="120"/>
        <w:jc w:val="both"/>
        <w:rPr>
          <w:noProof/>
          <w:color w:val="000000"/>
          <w:szCs w:val="20"/>
        </w:rPr>
      </w:pPr>
      <w:r w:rsidRPr="0071250C">
        <w:rPr>
          <w:noProof/>
          <w:color w:val="000000"/>
          <w:szCs w:val="20"/>
        </w:rPr>
        <w:t>Masters of Philosophy by publication, aiming for at least 3 peer reviewed publications in 12 months.</w:t>
      </w:r>
    </w:p>
    <w:p w14:paraId="1BE9C3A2" w14:textId="7C19D9C4" w:rsidR="00950590" w:rsidRPr="0071250C" w:rsidRDefault="00950590" w:rsidP="000A7694">
      <w:pPr>
        <w:numPr>
          <w:ilvl w:val="0"/>
          <w:numId w:val="12"/>
        </w:numPr>
        <w:tabs>
          <w:tab w:val="num" w:pos="720"/>
        </w:tabs>
        <w:spacing w:before="120" w:after="120"/>
        <w:jc w:val="both"/>
        <w:rPr>
          <w:noProof/>
          <w:color w:val="000000"/>
          <w:szCs w:val="20"/>
        </w:rPr>
      </w:pPr>
      <w:r w:rsidRPr="0071250C">
        <w:rPr>
          <w:noProof/>
          <w:color w:val="000000"/>
          <w:szCs w:val="20"/>
        </w:rPr>
        <w:lastRenderedPageBreak/>
        <w:t>Dedicated weekly meeting with research supervisors.</w:t>
      </w:r>
    </w:p>
    <w:p w14:paraId="7202DDFD" w14:textId="7C4AC55A" w:rsidR="00950590" w:rsidRPr="0071250C" w:rsidRDefault="00950590" w:rsidP="000A7694">
      <w:pPr>
        <w:numPr>
          <w:ilvl w:val="0"/>
          <w:numId w:val="12"/>
        </w:numPr>
        <w:tabs>
          <w:tab w:val="num" w:pos="720"/>
        </w:tabs>
        <w:spacing w:before="120" w:after="120"/>
        <w:jc w:val="both"/>
        <w:rPr>
          <w:noProof/>
          <w:color w:val="000000"/>
          <w:szCs w:val="20"/>
        </w:rPr>
      </w:pPr>
      <w:r w:rsidRPr="0071250C">
        <w:rPr>
          <w:noProof/>
          <w:color w:val="000000"/>
          <w:szCs w:val="20"/>
        </w:rPr>
        <w:t>Presentation</w:t>
      </w:r>
      <w:r w:rsidR="000A7694">
        <w:rPr>
          <w:noProof/>
          <w:color w:val="000000"/>
          <w:szCs w:val="20"/>
        </w:rPr>
        <w:t xml:space="preserve"> of research at </w:t>
      </w:r>
      <w:r w:rsidRPr="0071250C">
        <w:rPr>
          <w:noProof/>
          <w:color w:val="000000"/>
          <w:szCs w:val="20"/>
        </w:rPr>
        <w:t>national and international meetings.</w:t>
      </w:r>
    </w:p>
    <w:p w14:paraId="730B1F54" w14:textId="77777777" w:rsidR="00950590" w:rsidRDefault="00950590" w:rsidP="000A7694">
      <w:pPr>
        <w:numPr>
          <w:ilvl w:val="0"/>
          <w:numId w:val="12"/>
        </w:numPr>
        <w:tabs>
          <w:tab w:val="num" w:pos="720"/>
        </w:tabs>
        <w:spacing w:before="120" w:after="120"/>
        <w:jc w:val="both"/>
        <w:rPr>
          <w:rFonts w:eastAsia="Times New Roman"/>
        </w:rPr>
      </w:pPr>
      <w:r w:rsidRPr="0071250C">
        <w:rPr>
          <w:noProof/>
          <w:color w:val="000000"/>
          <w:szCs w:val="20"/>
        </w:rPr>
        <w:t>Contributing to The Binational Colorectal Cancer Audit (BCCA), a CSSANZ initiative used for clinical audit of the surgical practices of Australian and New Zealand surgeons for the purpose of quality assurance as well as critically important research</w:t>
      </w:r>
      <w:r>
        <w:rPr>
          <w:rFonts w:eastAsia="Times New Roman"/>
        </w:rPr>
        <w:t>.</w:t>
      </w:r>
    </w:p>
    <w:p w14:paraId="2AA63CE1" w14:textId="77777777" w:rsidR="00026DE9" w:rsidRPr="00CC6337" w:rsidRDefault="00026DE9" w:rsidP="000A7694">
      <w:pPr>
        <w:pStyle w:val="Heading1"/>
        <w:spacing w:before="240" w:after="120"/>
        <w:jc w:val="both"/>
        <w:rPr>
          <w:sz w:val="24"/>
          <w:szCs w:val="24"/>
        </w:rPr>
      </w:pPr>
      <w:r w:rsidRPr="00D04923">
        <w:rPr>
          <w:sz w:val="24"/>
          <w:szCs w:val="24"/>
        </w:rPr>
        <w:t>Reporting line, staffing, and budget responsibilities</w:t>
      </w:r>
      <w:bookmarkStart w:id="2" w:name="Text22"/>
    </w:p>
    <w:p w14:paraId="7F8CED75" w14:textId="77777777" w:rsidR="00950590" w:rsidRPr="0036693A" w:rsidRDefault="00950590" w:rsidP="000A7694">
      <w:pPr>
        <w:numPr>
          <w:ilvl w:val="0"/>
          <w:numId w:val="12"/>
        </w:numPr>
        <w:tabs>
          <w:tab w:val="num" w:pos="720"/>
        </w:tabs>
        <w:spacing w:before="120" w:after="120"/>
        <w:jc w:val="both"/>
        <w:rPr>
          <w:rFonts w:cs="Arial"/>
          <w:szCs w:val="20"/>
        </w:rPr>
      </w:pPr>
      <w:bookmarkStart w:id="3" w:name="Text17"/>
      <w:bookmarkEnd w:id="2"/>
      <w:r>
        <w:rPr>
          <w:noProof/>
          <w:color w:val="000000"/>
          <w:szCs w:val="20"/>
        </w:rPr>
        <w:t>This position reports both operationally and professionally to the Director of General Surgery and as otherwise delegated by the Director of General Surgery, to the Staff Specialists General Surgery.</w:t>
      </w:r>
    </w:p>
    <w:bookmarkEnd w:id="3"/>
    <w:p w14:paraId="7A35A13F" w14:textId="77777777" w:rsidR="009E2F07" w:rsidRPr="00CC6337" w:rsidRDefault="00382B6C" w:rsidP="000A7694">
      <w:pPr>
        <w:pStyle w:val="Heading1"/>
        <w:spacing w:before="240" w:after="120"/>
        <w:jc w:val="both"/>
        <w:rPr>
          <w:sz w:val="24"/>
          <w:szCs w:val="24"/>
        </w:rPr>
      </w:pPr>
      <w:r w:rsidRPr="009E2F07">
        <w:rPr>
          <w:sz w:val="24"/>
          <w:szCs w:val="24"/>
        </w:rPr>
        <w:t>The role</w:t>
      </w:r>
      <w:bookmarkStart w:id="4" w:name="Text12"/>
    </w:p>
    <w:p w14:paraId="7677F61A" w14:textId="77777777" w:rsidR="00382B6C" w:rsidRPr="009E2F07" w:rsidRDefault="00AA751D" w:rsidP="000A7694">
      <w:pPr>
        <w:spacing w:before="240" w:after="120"/>
        <w:jc w:val="both"/>
        <w:rPr>
          <w:rFonts w:cs="Arial"/>
          <w:szCs w:val="20"/>
        </w:rPr>
      </w:pPr>
      <w:r w:rsidRPr="009E2F07">
        <w:rPr>
          <w:i/>
          <w:color w:val="00A1DE"/>
          <w:szCs w:val="20"/>
        </w:rPr>
        <w:t>Responsibilities:</w:t>
      </w:r>
    </w:p>
    <w:bookmarkEnd w:id="4"/>
    <w:p w14:paraId="7C47301B" w14:textId="77777777" w:rsidR="00950590" w:rsidRPr="0071250C" w:rsidRDefault="00950590" w:rsidP="000A7694">
      <w:pPr>
        <w:numPr>
          <w:ilvl w:val="0"/>
          <w:numId w:val="12"/>
        </w:numPr>
        <w:tabs>
          <w:tab w:val="num" w:pos="720"/>
        </w:tabs>
        <w:spacing w:before="120" w:after="120"/>
        <w:jc w:val="both"/>
        <w:rPr>
          <w:noProof/>
          <w:color w:val="000000"/>
          <w:szCs w:val="20"/>
        </w:rPr>
      </w:pPr>
      <w:r w:rsidRPr="00AB4E7C">
        <w:rPr>
          <w:lang w:eastAsia="en-AU"/>
        </w:rPr>
        <w:t xml:space="preserve">Provide </w:t>
      </w:r>
      <w:r w:rsidRPr="0071250C">
        <w:rPr>
          <w:noProof/>
          <w:color w:val="000000"/>
          <w:szCs w:val="20"/>
        </w:rPr>
        <w:t>ethical decision making in the achievement of organisational goals.</w:t>
      </w:r>
    </w:p>
    <w:p w14:paraId="520D7D5C" w14:textId="77777777" w:rsidR="00950590" w:rsidRPr="0071250C" w:rsidRDefault="00950590" w:rsidP="000A7694">
      <w:pPr>
        <w:numPr>
          <w:ilvl w:val="0"/>
          <w:numId w:val="12"/>
        </w:numPr>
        <w:tabs>
          <w:tab w:val="num" w:pos="720"/>
        </w:tabs>
        <w:spacing w:before="120" w:after="120"/>
        <w:jc w:val="both"/>
        <w:rPr>
          <w:noProof/>
          <w:color w:val="000000"/>
          <w:szCs w:val="20"/>
        </w:rPr>
      </w:pPr>
      <w:r w:rsidRPr="0071250C">
        <w:rPr>
          <w:noProof/>
          <w:color w:val="000000"/>
          <w:szCs w:val="20"/>
        </w:rPr>
        <w:t>Under the supervision of the relevant Consultants, initiate, maintain and be responsible for the clinical care of patients.</w:t>
      </w:r>
    </w:p>
    <w:p w14:paraId="6A8F0E82" w14:textId="77777777" w:rsidR="00950590" w:rsidRPr="0071250C" w:rsidRDefault="00950590" w:rsidP="000A7694">
      <w:pPr>
        <w:numPr>
          <w:ilvl w:val="0"/>
          <w:numId w:val="12"/>
        </w:numPr>
        <w:tabs>
          <w:tab w:val="num" w:pos="720"/>
        </w:tabs>
        <w:spacing w:before="120" w:after="120"/>
        <w:jc w:val="both"/>
        <w:rPr>
          <w:noProof/>
          <w:color w:val="000000"/>
          <w:szCs w:val="20"/>
        </w:rPr>
      </w:pPr>
      <w:r w:rsidRPr="0071250C">
        <w:rPr>
          <w:noProof/>
          <w:color w:val="000000"/>
          <w:szCs w:val="20"/>
        </w:rPr>
        <w:t>Supervise the day to day activities of junior medical staff to ensure that appropriate standards of care are maintained, and that junior medical staff are trained to adequately fulfil their duties.</w:t>
      </w:r>
    </w:p>
    <w:p w14:paraId="0D2C7423" w14:textId="77777777" w:rsidR="00950590" w:rsidRPr="0071250C" w:rsidRDefault="00950590" w:rsidP="000A7694">
      <w:pPr>
        <w:numPr>
          <w:ilvl w:val="0"/>
          <w:numId w:val="12"/>
        </w:numPr>
        <w:tabs>
          <w:tab w:val="num" w:pos="720"/>
        </w:tabs>
        <w:spacing w:before="120" w:after="120"/>
        <w:jc w:val="both"/>
        <w:rPr>
          <w:noProof/>
          <w:color w:val="000000"/>
          <w:szCs w:val="20"/>
        </w:rPr>
      </w:pPr>
      <w:r w:rsidRPr="0071250C">
        <w:rPr>
          <w:noProof/>
          <w:color w:val="000000"/>
          <w:szCs w:val="20"/>
        </w:rPr>
        <w:t xml:space="preserve">Participate in the provision of an on-call roster or a shift roster to provide services out of hours, at night and on weekends, as directed by the relevant Consultant. </w:t>
      </w:r>
    </w:p>
    <w:p w14:paraId="7D700D32" w14:textId="77777777" w:rsidR="00950590" w:rsidRPr="0071250C" w:rsidRDefault="00950590" w:rsidP="000A7694">
      <w:pPr>
        <w:numPr>
          <w:ilvl w:val="0"/>
          <w:numId w:val="12"/>
        </w:numPr>
        <w:tabs>
          <w:tab w:val="num" w:pos="720"/>
        </w:tabs>
        <w:spacing w:before="120" w:after="120"/>
        <w:jc w:val="both"/>
        <w:rPr>
          <w:noProof/>
          <w:color w:val="000000"/>
          <w:szCs w:val="20"/>
        </w:rPr>
      </w:pPr>
      <w:r w:rsidRPr="0071250C">
        <w:rPr>
          <w:noProof/>
          <w:color w:val="000000"/>
          <w:szCs w:val="20"/>
        </w:rPr>
        <w:t>Ensure and review the quality of patient care by participation in clinical audits and quality programs.</w:t>
      </w:r>
    </w:p>
    <w:p w14:paraId="4EB736FE" w14:textId="77777777" w:rsidR="00950590" w:rsidRPr="0071250C" w:rsidRDefault="00950590" w:rsidP="000A7694">
      <w:pPr>
        <w:numPr>
          <w:ilvl w:val="0"/>
          <w:numId w:val="12"/>
        </w:numPr>
        <w:tabs>
          <w:tab w:val="num" w:pos="720"/>
        </w:tabs>
        <w:spacing w:before="120" w:after="120"/>
        <w:jc w:val="both"/>
        <w:rPr>
          <w:noProof/>
          <w:color w:val="000000"/>
          <w:szCs w:val="20"/>
        </w:rPr>
      </w:pPr>
      <w:r w:rsidRPr="0071250C">
        <w:rPr>
          <w:noProof/>
          <w:color w:val="000000"/>
          <w:szCs w:val="20"/>
        </w:rPr>
        <w:t>To make an appropriate signed and dated legible entry in the patient’s medical records on every attendance upon a patient. The medical officer should also print his/her name under the signature. For each working day there should be a medical annotation in the medical notes.</w:t>
      </w:r>
    </w:p>
    <w:p w14:paraId="65C5839D" w14:textId="77777777" w:rsidR="00950590" w:rsidRPr="0071250C" w:rsidRDefault="00950590" w:rsidP="000A7694">
      <w:pPr>
        <w:numPr>
          <w:ilvl w:val="0"/>
          <w:numId w:val="12"/>
        </w:numPr>
        <w:tabs>
          <w:tab w:val="num" w:pos="720"/>
        </w:tabs>
        <w:spacing w:before="120" w:after="120"/>
        <w:jc w:val="both"/>
        <w:rPr>
          <w:noProof/>
          <w:color w:val="000000"/>
          <w:szCs w:val="20"/>
        </w:rPr>
      </w:pPr>
      <w:r w:rsidRPr="0071250C">
        <w:rPr>
          <w:noProof/>
          <w:color w:val="000000"/>
          <w:szCs w:val="20"/>
        </w:rPr>
        <w:t>To ensure that discharge summaries and medico-legal correspondence is completed with minimum delay and that all such correspondence is completed prior to leaving the unit.</w:t>
      </w:r>
    </w:p>
    <w:p w14:paraId="655719F7" w14:textId="77777777" w:rsidR="00950590" w:rsidRPr="0071250C" w:rsidRDefault="00950590" w:rsidP="000A7694">
      <w:pPr>
        <w:numPr>
          <w:ilvl w:val="0"/>
          <w:numId w:val="12"/>
        </w:numPr>
        <w:tabs>
          <w:tab w:val="num" w:pos="720"/>
        </w:tabs>
        <w:spacing w:before="120" w:after="120"/>
        <w:jc w:val="both"/>
        <w:rPr>
          <w:noProof/>
          <w:color w:val="000000"/>
          <w:szCs w:val="20"/>
        </w:rPr>
      </w:pPr>
      <w:r w:rsidRPr="0071250C">
        <w:rPr>
          <w:noProof/>
          <w:color w:val="000000"/>
          <w:szCs w:val="20"/>
        </w:rPr>
        <w:t>Be responsible to the relevant Director or Visiting Medical Officer for such administrative tasks as are necessary.</w:t>
      </w:r>
    </w:p>
    <w:p w14:paraId="598C0334" w14:textId="77777777" w:rsidR="00950590" w:rsidRPr="0071250C" w:rsidRDefault="00950590" w:rsidP="000A7694">
      <w:pPr>
        <w:numPr>
          <w:ilvl w:val="0"/>
          <w:numId w:val="12"/>
        </w:numPr>
        <w:tabs>
          <w:tab w:val="num" w:pos="720"/>
        </w:tabs>
        <w:spacing w:before="120" w:after="120"/>
        <w:jc w:val="both"/>
        <w:rPr>
          <w:noProof/>
          <w:color w:val="000000"/>
          <w:szCs w:val="20"/>
        </w:rPr>
      </w:pPr>
      <w:r w:rsidRPr="0071250C">
        <w:rPr>
          <w:noProof/>
          <w:color w:val="000000"/>
          <w:szCs w:val="20"/>
        </w:rPr>
        <w:t>Be aware of and adhere to all relevant hospital policies and procedures.</w:t>
      </w:r>
    </w:p>
    <w:p w14:paraId="6B63C000" w14:textId="77777777" w:rsidR="00950590" w:rsidRPr="0071250C" w:rsidRDefault="00950590" w:rsidP="000A7694">
      <w:pPr>
        <w:numPr>
          <w:ilvl w:val="0"/>
          <w:numId w:val="12"/>
        </w:numPr>
        <w:tabs>
          <w:tab w:val="num" w:pos="720"/>
        </w:tabs>
        <w:spacing w:before="120" w:after="120"/>
        <w:jc w:val="both"/>
        <w:rPr>
          <w:noProof/>
          <w:color w:val="000000"/>
          <w:szCs w:val="20"/>
        </w:rPr>
      </w:pPr>
      <w:r w:rsidRPr="0071250C">
        <w:rPr>
          <w:noProof/>
          <w:color w:val="000000"/>
          <w:szCs w:val="20"/>
        </w:rPr>
        <w:t>Undertake theoretical and practical training in the particular discipline in which the Registrar is employed.</w:t>
      </w:r>
    </w:p>
    <w:p w14:paraId="73294C56" w14:textId="4E15ECF2" w:rsidR="00382B6C" w:rsidRDefault="00950590" w:rsidP="000A7694">
      <w:pPr>
        <w:numPr>
          <w:ilvl w:val="0"/>
          <w:numId w:val="12"/>
        </w:numPr>
        <w:tabs>
          <w:tab w:val="num" w:pos="720"/>
        </w:tabs>
        <w:spacing w:before="120" w:after="120"/>
        <w:jc w:val="both"/>
        <w:rPr>
          <w:lang w:eastAsia="en-AU"/>
        </w:rPr>
      </w:pPr>
      <w:r w:rsidRPr="0071250C">
        <w:rPr>
          <w:noProof/>
          <w:color w:val="000000"/>
          <w:szCs w:val="20"/>
        </w:rPr>
        <w:t>To participate in Quality Improvement</w:t>
      </w:r>
      <w:r w:rsidRPr="00AB4E7C">
        <w:rPr>
          <w:lang w:eastAsia="en-AU"/>
        </w:rPr>
        <w:t xml:space="preserve"> Programs.</w:t>
      </w:r>
    </w:p>
    <w:p w14:paraId="12627A0E" w14:textId="77777777" w:rsidR="00AA751D" w:rsidRPr="00D04923" w:rsidRDefault="00AA751D" w:rsidP="000A7694">
      <w:pPr>
        <w:spacing w:before="240" w:after="120"/>
        <w:jc w:val="both"/>
        <w:rPr>
          <w:i/>
          <w:color w:val="00A1DE"/>
          <w:szCs w:val="20"/>
        </w:rPr>
      </w:pPr>
      <w:r>
        <w:rPr>
          <w:i/>
          <w:color w:val="00A1DE"/>
          <w:szCs w:val="20"/>
        </w:rPr>
        <w:t>Additional:</w:t>
      </w:r>
    </w:p>
    <w:p w14:paraId="66F11378" w14:textId="77777777" w:rsidR="00AA751D" w:rsidRPr="00AA751D" w:rsidRDefault="00AA751D" w:rsidP="000A7694">
      <w:pPr>
        <w:pStyle w:val="BodyText"/>
        <w:numPr>
          <w:ilvl w:val="0"/>
          <w:numId w:val="12"/>
        </w:numPr>
        <w:spacing w:line="240" w:lineRule="auto"/>
        <w:jc w:val="both"/>
        <w:rPr>
          <w:lang w:eastAsia="en-AU"/>
        </w:rPr>
      </w:pPr>
      <w:r w:rsidRPr="00AA751D">
        <w:rPr>
          <w:lang w:eastAsia="en-AU"/>
        </w:rPr>
        <w:t xml:space="preserve">Fulfil the responsibilities of this role primarily in accordance with the Townsville Hospital and Health Service (HHS) core values, as outlined below, and in accordance with the </w:t>
      </w:r>
      <w:hyperlink r:id="rId8" w:history="1">
        <w:r w:rsidRPr="00CC4416">
          <w:rPr>
            <w:rStyle w:val="Hyperlink"/>
          </w:rPr>
          <w:t>values outlined for the public service</w:t>
        </w:r>
      </w:hyperlink>
      <w:r w:rsidRPr="00AA751D">
        <w:rPr>
          <w:lang w:eastAsia="en-AU"/>
        </w:rPr>
        <w:t xml:space="preserve"> with the Queensland Government.</w:t>
      </w:r>
    </w:p>
    <w:p w14:paraId="4984DF20" w14:textId="77777777" w:rsidR="00AA751D" w:rsidRPr="00AA751D" w:rsidRDefault="00AA751D" w:rsidP="000A7694">
      <w:pPr>
        <w:pStyle w:val="BodyText"/>
        <w:numPr>
          <w:ilvl w:val="0"/>
          <w:numId w:val="12"/>
        </w:numPr>
        <w:spacing w:line="240" w:lineRule="auto"/>
        <w:jc w:val="both"/>
        <w:rPr>
          <w:lang w:eastAsia="en-AU"/>
        </w:rPr>
      </w:pPr>
      <w:r w:rsidRPr="00AA751D">
        <w:rPr>
          <w:lang w:eastAsia="en-AU"/>
        </w:rPr>
        <w:t>Ensure that service standards, safety and quality are maintained through adherence to defined service quality standards and relevant occupational health and safety policies, procedures and work practices.</w:t>
      </w:r>
    </w:p>
    <w:p w14:paraId="4154F667" w14:textId="77777777" w:rsidR="00AA751D" w:rsidRPr="00AA751D" w:rsidRDefault="00AA751D" w:rsidP="000A7694">
      <w:pPr>
        <w:pStyle w:val="BodyText"/>
        <w:numPr>
          <w:ilvl w:val="0"/>
          <w:numId w:val="12"/>
        </w:numPr>
        <w:spacing w:line="240" w:lineRule="auto"/>
        <w:jc w:val="both"/>
        <w:rPr>
          <w:lang w:eastAsia="en-AU"/>
        </w:rPr>
      </w:pPr>
      <w:r w:rsidRPr="00AA751D">
        <w:rPr>
          <w:lang w:eastAsia="en-AU"/>
        </w:rPr>
        <w:t>Some roles within Queensland Health are designated as Vaccination Preventable Disease (VPD) risk roles.</w:t>
      </w:r>
    </w:p>
    <w:p w14:paraId="737DAFA5" w14:textId="3A2FECC9" w:rsidR="00AA751D" w:rsidRPr="00AA751D" w:rsidRDefault="00AA751D" w:rsidP="000A7694">
      <w:pPr>
        <w:pStyle w:val="BodyText"/>
        <w:spacing w:line="240" w:lineRule="auto"/>
        <w:ind w:left="360"/>
        <w:jc w:val="both"/>
        <w:rPr>
          <w:lang w:eastAsia="en-AU"/>
        </w:rPr>
      </w:pPr>
      <w:r w:rsidRPr="00AA751D">
        <w:rPr>
          <w:b/>
          <w:lang w:eastAsia="en-AU"/>
        </w:rPr>
        <w:t>This is a VPD risk role.</w:t>
      </w:r>
      <w:r w:rsidRPr="00AA751D">
        <w:rPr>
          <w:lang w:eastAsia="en-AU"/>
        </w:rPr>
        <w:t xml:space="preserve"> </w:t>
      </w:r>
    </w:p>
    <w:p w14:paraId="1B04ED9A" w14:textId="53F2B17E" w:rsidR="009E2F07" w:rsidRPr="00CC6337" w:rsidRDefault="009E2F07" w:rsidP="000A7694">
      <w:pPr>
        <w:pStyle w:val="Heading1"/>
        <w:spacing w:before="240" w:after="120"/>
        <w:jc w:val="both"/>
        <w:rPr>
          <w:sz w:val="24"/>
          <w:szCs w:val="24"/>
        </w:rPr>
      </w:pPr>
      <w:r w:rsidRPr="00D04923">
        <w:rPr>
          <w:sz w:val="24"/>
          <w:szCs w:val="24"/>
        </w:rPr>
        <w:t xml:space="preserve">Work Health and Safety </w:t>
      </w:r>
    </w:p>
    <w:p w14:paraId="271BE658" w14:textId="77777777" w:rsidR="009E2F07" w:rsidRPr="002B5E06" w:rsidRDefault="009E2F07" w:rsidP="000A7694">
      <w:pPr>
        <w:spacing w:before="120" w:after="120"/>
        <w:jc w:val="both"/>
        <w:rPr>
          <w:szCs w:val="20"/>
        </w:rPr>
      </w:pPr>
      <w:r w:rsidRPr="002B5E06">
        <w:rPr>
          <w:szCs w:val="20"/>
        </w:rPr>
        <w:t xml:space="preserve">Townsville HHS is committed to providing a safe workplace for all employees. This commitment includes a dedicated </w:t>
      </w:r>
      <w:r w:rsidRPr="006A3087">
        <w:rPr>
          <w:i/>
          <w:szCs w:val="20"/>
        </w:rPr>
        <w:t>People Focussed Safety</w:t>
      </w:r>
      <w:r w:rsidRPr="002B5E06">
        <w:rPr>
          <w:szCs w:val="20"/>
        </w:rPr>
        <w:t xml:space="preserve"> culture. </w:t>
      </w:r>
    </w:p>
    <w:p w14:paraId="746076B0" w14:textId="77777777" w:rsidR="009E2F07" w:rsidRPr="002B5E06" w:rsidRDefault="009E2F07" w:rsidP="000A7694">
      <w:pPr>
        <w:spacing w:before="120" w:after="120"/>
        <w:jc w:val="both"/>
        <w:rPr>
          <w:szCs w:val="20"/>
        </w:rPr>
      </w:pPr>
      <w:r w:rsidRPr="002B5E06">
        <w:rPr>
          <w:szCs w:val="20"/>
        </w:rPr>
        <w:t xml:space="preserve">A </w:t>
      </w:r>
      <w:r w:rsidRPr="006A3087">
        <w:rPr>
          <w:i/>
          <w:szCs w:val="20"/>
        </w:rPr>
        <w:t>People Focussed Safety</w:t>
      </w:r>
      <w:r w:rsidRPr="002B5E06">
        <w:rPr>
          <w:szCs w:val="20"/>
        </w:rPr>
        <w:t xml:space="preserve"> culture commits to the health, safety and wellbeing of staff, volunteers and other persons, through the provision of a dynamic and comprehensive Health and Safety Management System (HSMS). The HSMS provides for proactive safety initiatives, early injury management practices with a strong focus on a safe and durable return to work. </w:t>
      </w:r>
    </w:p>
    <w:p w14:paraId="33B62B09" w14:textId="77777777" w:rsidR="009E2F07" w:rsidRPr="002B5E06" w:rsidRDefault="009E2F07" w:rsidP="000A7694">
      <w:pPr>
        <w:spacing w:before="120" w:after="120"/>
        <w:jc w:val="both"/>
        <w:rPr>
          <w:szCs w:val="20"/>
        </w:rPr>
      </w:pPr>
      <w:r w:rsidRPr="002B5E06">
        <w:rPr>
          <w:szCs w:val="20"/>
        </w:rPr>
        <w:t xml:space="preserve">The provision of a Health and Safety environment within Townsville </w:t>
      </w:r>
      <w:r>
        <w:rPr>
          <w:szCs w:val="20"/>
        </w:rPr>
        <w:t>HHS</w:t>
      </w:r>
      <w:r w:rsidRPr="002B5E06">
        <w:rPr>
          <w:szCs w:val="20"/>
        </w:rPr>
        <w:t xml:space="preserve"> is everyone’s responsibility.</w:t>
      </w:r>
    </w:p>
    <w:p w14:paraId="6E9DBDBA" w14:textId="77777777" w:rsidR="009E2F07" w:rsidRPr="00CC6337" w:rsidRDefault="009E2F07" w:rsidP="000A7694">
      <w:pPr>
        <w:pStyle w:val="Heading1"/>
        <w:spacing w:before="240" w:after="120"/>
        <w:jc w:val="both"/>
        <w:rPr>
          <w:sz w:val="24"/>
          <w:szCs w:val="24"/>
        </w:rPr>
      </w:pPr>
      <w:r w:rsidRPr="00D04923">
        <w:rPr>
          <w:sz w:val="24"/>
          <w:szCs w:val="24"/>
        </w:rPr>
        <w:lastRenderedPageBreak/>
        <w:t>Safety and Quality</w:t>
      </w:r>
    </w:p>
    <w:p w14:paraId="2A5F2D16" w14:textId="77777777" w:rsidR="00F55C3D" w:rsidRDefault="00F55C3D" w:rsidP="000A7694">
      <w:pPr>
        <w:spacing w:before="120" w:after="120"/>
        <w:jc w:val="both"/>
        <w:rPr>
          <w:i/>
          <w:iCs/>
        </w:rPr>
      </w:pPr>
      <w:bookmarkStart w:id="5" w:name="_Hlk110602997"/>
      <w:bookmarkStart w:id="6" w:name="_Hlk78206119"/>
      <w:bookmarkStart w:id="7" w:name="_Hlk87019167"/>
      <w:r>
        <w:t xml:space="preserve">Relevant to the position, participate in the ongoing education, implementation, monitoring and evaluation of safety and quality initiatives set by </w:t>
      </w:r>
      <w:hyperlink r:id="rId9" w:history="1">
        <w:r>
          <w:rPr>
            <w:rStyle w:val="Hyperlink"/>
            <w:i/>
            <w:iCs/>
          </w:rPr>
          <w:t>The Australian Commission on Safety and Quality in Health Care</w:t>
        </w:r>
      </w:hyperlink>
      <w:r>
        <w:t xml:space="preserve"> to achieve a safe high-quality and sustainable health system, including compliance with the </w:t>
      </w:r>
      <w:r>
        <w:rPr>
          <w:i/>
          <w:iCs/>
        </w:rPr>
        <w:t xml:space="preserve">National Safety and Quality Health Services Standards. </w:t>
      </w:r>
    </w:p>
    <w:p w14:paraId="20516F8C" w14:textId="77777777" w:rsidR="00F55C3D" w:rsidRPr="008832DD" w:rsidRDefault="00F55C3D" w:rsidP="000A7694">
      <w:pPr>
        <w:jc w:val="both"/>
        <w:rPr>
          <w:b/>
          <w:bCs/>
        </w:rPr>
      </w:pPr>
      <w:r w:rsidRPr="009E376F">
        <w:rPr>
          <w:szCs w:val="20"/>
        </w:rPr>
        <w:t xml:space="preserve">Relevant to the position, participate in the ongoing education, implementation, monitoring and evaluation of safety and quality initiatives relevant to </w:t>
      </w:r>
      <w:r w:rsidRPr="009E376F">
        <w:rPr>
          <w:b/>
          <w:bCs/>
          <w:i/>
          <w:iCs/>
          <w:szCs w:val="20"/>
        </w:rPr>
        <w:t>Aged Care Quality and Safety Commission, Aged Care Quality Standards and the National Disability Insurance Scheme Practice Standards</w:t>
      </w:r>
      <w:r w:rsidRPr="009E376F">
        <w:rPr>
          <w:szCs w:val="20"/>
        </w:rPr>
        <w:t>.</w:t>
      </w:r>
      <w:r w:rsidRPr="0050261F">
        <w:rPr>
          <w:b/>
          <w:color w:val="FF0000"/>
          <w:lang w:eastAsia="en-AU"/>
        </w:rPr>
        <w:t xml:space="preserve"> </w:t>
      </w:r>
    </w:p>
    <w:bookmarkEnd w:id="5"/>
    <w:p w14:paraId="6F311D6E" w14:textId="77777777" w:rsidR="00F55C3D" w:rsidRDefault="00F55C3D" w:rsidP="000A7694">
      <w:pPr>
        <w:autoSpaceDE w:val="0"/>
        <w:autoSpaceDN w:val="0"/>
        <w:adjustRightInd w:val="0"/>
        <w:spacing w:before="120" w:after="120"/>
        <w:jc w:val="both"/>
        <w:rPr>
          <w:b/>
          <w:i/>
          <w:szCs w:val="20"/>
        </w:rPr>
      </w:pPr>
      <w:r w:rsidRPr="002B5E06">
        <w:rPr>
          <w:szCs w:val="20"/>
        </w:rPr>
        <w:t xml:space="preserve">For more information in regards to Work Health and Safety Accountabilities within the Townsville </w:t>
      </w:r>
      <w:r>
        <w:rPr>
          <w:szCs w:val="20"/>
        </w:rPr>
        <w:t>HHS</w:t>
      </w:r>
      <w:r w:rsidRPr="002B5E06">
        <w:rPr>
          <w:szCs w:val="20"/>
        </w:rPr>
        <w:t xml:space="preserve"> please review </w:t>
      </w:r>
      <w:hyperlink r:id="rId10" w:history="1">
        <w:r w:rsidRPr="00CC4416">
          <w:rPr>
            <w:rStyle w:val="Hyperlink"/>
            <w:i/>
            <w:iCs/>
          </w:rPr>
          <w:t>Workplace Health and Safety Act 2011</w:t>
        </w:r>
      </w:hyperlink>
      <w:r w:rsidRPr="00CC4416">
        <w:rPr>
          <w:rStyle w:val="Hyperlink"/>
          <w:i/>
          <w:iCs/>
        </w:rPr>
        <w:t xml:space="preserve"> </w:t>
      </w:r>
      <w:r w:rsidRPr="005811D1">
        <w:rPr>
          <w:rStyle w:val="Hyperlink"/>
          <w:i/>
          <w:color w:val="000000"/>
          <w:szCs w:val="20"/>
          <w:u w:val="none"/>
        </w:rPr>
        <w:t xml:space="preserve">- </w:t>
      </w:r>
      <w:r w:rsidRPr="002B5E06">
        <w:rPr>
          <w:b/>
          <w:i/>
          <w:szCs w:val="20"/>
        </w:rPr>
        <w:t>Part 2</w:t>
      </w:r>
      <w:r>
        <w:rPr>
          <w:b/>
          <w:i/>
          <w:szCs w:val="20"/>
        </w:rPr>
        <w:t>,</w:t>
      </w:r>
      <w:r w:rsidRPr="002B5E06">
        <w:rPr>
          <w:b/>
          <w:i/>
          <w:szCs w:val="20"/>
        </w:rPr>
        <w:t xml:space="preserve"> Health and Safety Duties.</w:t>
      </w:r>
      <w:r>
        <w:rPr>
          <w:b/>
          <w:i/>
          <w:szCs w:val="20"/>
        </w:rPr>
        <w:t xml:space="preserve"> </w:t>
      </w:r>
    </w:p>
    <w:p w14:paraId="476CBEBC" w14:textId="3E736E7B" w:rsidR="00B23013" w:rsidRPr="00CC6337" w:rsidRDefault="00B23013" w:rsidP="000A7694">
      <w:pPr>
        <w:pStyle w:val="Heading1"/>
        <w:spacing w:before="240" w:after="120"/>
        <w:jc w:val="both"/>
        <w:rPr>
          <w:sz w:val="24"/>
          <w:szCs w:val="24"/>
        </w:rPr>
      </w:pPr>
      <w:r w:rsidRPr="00D04923">
        <w:rPr>
          <w:sz w:val="24"/>
          <w:szCs w:val="24"/>
        </w:rPr>
        <w:t>Mandatory qualifications/ professional registration/ other requirements</w:t>
      </w:r>
    </w:p>
    <w:p w14:paraId="23D4971C" w14:textId="77777777" w:rsidR="00950590" w:rsidRDefault="00950590" w:rsidP="000A7694">
      <w:pPr>
        <w:numPr>
          <w:ilvl w:val="0"/>
          <w:numId w:val="14"/>
        </w:numPr>
        <w:autoSpaceDE w:val="0"/>
        <w:autoSpaceDN w:val="0"/>
        <w:adjustRightInd w:val="0"/>
        <w:spacing w:after="120"/>
        <w:jc w:val="both"/>
        <w:rPr>
          <w:rFonts w:cs="Arial"/>
          <w:color w:val="000000"/>
          <w:szCs w:val="20"/>
        </w:rPr>
      </w:pPr>
      <w:bookmarkStart w:id="8" w:name="Text27"/>
      <w:r w:rsidRPr="00AB2F48">
        <w:rPr>
          <w:rFonts w:cs="Arial"/>
          <w:color w:val="000000"/>
          <w:szCs w:val="20"/>
        </w:rPr>
        <w:t>Possession of Bachelor of Medicine, Bachelor of Surgery (MBBS) qualifications (or equivalent).</w:t>
      </w:r>
    </w:p>
    <w:p w14:paraId="2DB5CC1D" w14:textId="77777777" w:rsidR="00950590" w:rsidRDefault="00950590" w:rsidP="000A7694">
      <w:pPr>
        <w:numPr>
          <w:ilvl w:val="0"/>
          <w:numId w:val="14"/>
        </w:numPr>
        <w:spacing w:before="120" w:after="120"/>
        <w:jc w:val="both"/>
        <w:rPr>
          <w:rFonts w:cs="Arial"/>
          <w:noProof/>
          <w:color w:val="000000"/>
          <w:szCs w:val="20"/>
        </w:rPr>
      </w:pPr>
      <w:r w:rsidRPr="00AB2F48">
        <w:rPr>
          <w:rFonts w:cs="Arial"/>
          <w:color w:val="000000"/>
          <w:szCs w:val="20"/>
        </w:rPr>
        <w:t>Current registration or eligibility for registration as a Medical Practitioner with the Medical Board of Australia</w:t>
      </w:r>
    </w:p>
    <w:p w14:paraId="32643E31" w14:textId="77777777" w:rsidR="00950590" w:rsidRDefault="00950590" w:rsidP="000A7694">
      <w:pPr>
        <w:numPr>
          <w:ilvl w:val="0"/>
          <w:numId w:val="14"/>
        </w:numPr>
        <w:spacing w:before="120" w:after="120"/>
        <w:jc w:val="both"/>
        <w:rPr>
          <w:rFonts w:cs="Arial"/>
          <w:noProof/>
          <w:color w:val="000000"/>
          <w:szCs w:val="20"/>
        </w:rPr>
      </w:pPr>
      <w:r w:rsidRPr="00E53BB3">
        <w:rPr>
          <w:rFonts w:cs="Arial"/>
          <w:noProof/>
          <w:color w:val="000000"/>
          <w:szCs w:val="20"/>
        </w:rPr>
        <w:t>Appointment to this position requires proof of qualification and registration or membership (if applicable) with the appropriate registration authority or association. Certified copies of the required information must be provided to the approp</w:t>
      </w:r>
      <w:r>
        <w:rPr>
          <w:rFonts w:cs="Arial"/>
          <w:noProof/>
          <w:color w:val="000000"/>
          <w:szCs w:val="20"/>
        </w:rPr>
        <w:t>r</w:t>
      </w:r>
      <w:r w:rsidRPr="00E53BB3">
        <w:rPr>
          <w:rFonts w:cs="Arial"/>
          <w:noProof/>
          <w:color w:val="000000"/>
          <w:szCs w:val="20"/>
        </w:rPr>
        <w:t>iate supervisor/manager prior</w:t>
      </w:r>
      <w:r>
        <w:rPr>
          <w:rFonts w:cs="Arial"/>
          <w:noProof/>
          <w:color w:val="000000"/>
          <w:szCs w:val="20"/>
        </w:rPr>
        <w:t xml:space="preserve"> </w:t>
      </w:r>
      <w:r w:rsidRPr="00E53BB3">
        <w:rPr>
          <w:rFonts w:cs="Arial"/>
          <w:noProof/>
          <w:color w:val="000000"/>
          <w:szCs w:val="20"/>
        </w:rPr>
        <w:t>to commencement of clinical duties.</w:t>
      </w:r>
    </w:p>
    <w:p w14:paraId="45E57ED4" w14:textId="2E5F2A6E" w:rsidR="00950590" w:rsidRPr="00E53BB3" w:rsidRDefault="00950590" w:rsidP="000A7694">
      <w:pPr>
        <w:numPr>
          <w:ilvl w:val="0"/>
          <w:numId w:val="14"/>
        </w:numPr>
        <w:spacing w:before="120" w:after="120"/>
        <w:jc w:val="both"/>
        <w:rPr>
          <w:rFonts w:cs="Arial"/>
          <w:noProof/>
          <w:color w:val="000000"/>
          <w:szCs w:val="20"/>
        </w:rPr>
      </w:pPr>
      <w:r>
        <w:rPr>
          <w:rFonts w:cs="Arial"/>
          <w:noProof/>
          <w:color w:val="000000"/>
          <w:szCs w:val="20"/>
        </w:rPr>
        <w:t>Appointment level will be determined by qualifications and medical registration with</w:t>
      </w:r>
      <w:r w:rsidR="001555A9">
        <w:rPr>
          <w:rFonts w:cs="Arial"/>
          <w:noProof/>
          <w:color w:val="000000"/>
          <w:szCs w:val="20"/>
        </w:rPr>
        <w:t xml:space="preserve"> the</w:t>
      </w:r>
      <w:r>
        <w:rPr>
          <w:rFonts w:cs="Arial"/>
          <w:noProof/>
          <w:color w:val="000000"/>
          <w:szCs w:val="20"/>
        </w:rPr>
        <w:t xml:space="preserve"> Medical Board of Australia.</w:t>
      </w:r>
    </w:p>
    <w:p w14:paraId="726E504F" w14:textId="77777777" w:rsidR="00AA74A3" w:rsidRPr="00DA2CB0" w:rsidRDefault="00AA74A3" w:rsidP="000A7694">
      <w:pPr>
        <w:numPr>
          <w:ilvl w:val="0"/>
          <w:numId w:val="14"/>
        </w:numPr>
        <w:spacing w:before="120" w:after="120"/>
        <w:jc w:val="both"/>
        <w:rPr>
          <w:rFonts w:cs="Arial"/>
          <w:noProof/>
          <w:color w:val="000000"/>
          <w:szCs w:val="20"/>
        </w:rPr>
      </w:pPr>
      <w:bookmarkStart w:id="9" w:name="_Hlk55994313"/>
      <w:bookmarkEnd w:id="8"/>
      <w:r w:rsidRPr="00DA2CB0">
        <w:rPr>
          <w:rFonts w:cs="Arial"/>
          <w:b/>
          <w:noProof/>
          <w:color w:val="000000"/>
          <w:szCs w:val="20"/>
        </w:rPr>
        <w:t>Vaccine Preventable Disease (VPD)</w:t>
      </w:r>
      <w:r w:rsidRPr="00FB7B3F">
        <w:rPr>
          <w:rFonts w:cs="Arial"/>
          <w:b/>
          <w:bCs/>
          <w:noProof/>
          <w:color w:val="000000"/>
          <w:szCs w:val="20"/>
        </w:rPr>
        <w:t>:</w:t>
      </w:r>
      <w:r w:rsidRPr="00DA2CB0">
        <w:rPr>
          <w:rFonts w:cs="Arial"/>
          <w:noProof/>
          <w:color w:val="000000"/>
          <w:szCs w:val="20"/>
        </w:rPr>
        <w:t xml:space="preserve"> </w:t>
      </w:r>
      <w:r>
        <w:t>Health Care Workers in Queensland Health whose occupation poses a potential risk of exposure to blood or body fluids are required to provide evidence of vaccinations or proof that they are not susceptible</w:t>
      </w:r>
      <w:r w:rsidRPr="00DA2CB0">
        <w:rPr>
          <w:rFonts w:cs="Arial"/>
          <w:color w:val="000000"/>
          <w:szCs w:val="20"/>
        </w:rPr>
        <w:t xml:space="preserve"> (due to prior exposure to the disease and therefore have natural immunity) </w:t>
      </w:r>
      <w:r>
        <w:t>to the following VPD's Hepatitis B, Measles, Mumps, Rubella, Varicella and Pertussis (diphtheria, tetanus and pertussis containing vaccine) according to the Queensland Health Policy. </w:t>
      </w:r>
    </w:p>
    <w:bookmarkEnd w:id="6"/>
    <w:bookmarkEnd w:id="7"/>
    <w:bookmarkEnd w:id="9"/>
    <w:p w14:paraId="0280A95A" w14:textId="62EBA153" w:rsidR="009E2F07" w:rsidRPr="00CC6337" w:rsidRDefault="009E2F07" w:rsidP="000A7694">
      <w:pPr>
        <w:pStyle w:val="Heading1"/>
        <w:spacing w:before="240" w:after="120"/>
        <w:jc w:val="both"/>
        <w:rPr>
          <w:sz w:val="24"/>
          <w:szCs w:val="24"/>
        </w:rPr>
      </w:pPr>
      <w:r w:rsidRPr="00D04923">
        <w:rPr>
          <w:sz w:val="24"/>
          <w:szCs w:val="24"/>
        </w:rPr>
        <w:t>How you will be assessed</w:t>
      </w:r>
    </w:p>
    <w:p w14:paraId="1CED8D15" w14:textId="77777777" w:rsidR="009E2F07" w:rsidRDefault="009E2F07" w:rsidP="000A7694">
      <w:pPr>
        <w:spacing w:before="120" w:after="120"/>
        <w:jc w:val="both"/>
        <w:rPr>
          <w:rFonts w:cs="Arial"/>
          <w:bCs/>
          <w:szCs w:val="20"/>
        </w:rPr>
      </w:pPr>
      <w:r w:rsidRPr="00B6323D">
        <w:rPr>
          <w:rFonts w:cs="Arial"/>
          <w:bCs/>
          <w:szCs w:val="20"/>
        </w:rPr>
        <w:t>You</w:t>
      </w:r>
      <w:r>
        <w:rPr>
          <w:rFonts w:cs="Arial"/>
          <w:bCs/>
          <w:szCs w:val="20"/>
        </w:rPr>
        <w:t xml:space="preserve"> will be assessed on your ability to demonstrate the following key requirements, knowledge and experience which is outlined under ‘The role’. The ideal applicant will be someone who has proven ability and can demonstrate the following:</w:t>
      </w:r>
    </w:p>
    <w:p w14:paraId="11ADCB3C" w14:textId="77777777" w:rsidR="00950590" w:rsidRDefault="00950590" w:rsidP="000A7694">
      <w:pPr>
        <w:numPr>
          <w:ilvl w:val="0"/>
          <w:numId w:val="14"/>
        </w:numPr>
        <w:spacing w:after="120"/>
        <w:jc w:val="both"/>
        <w:rPr>
          <w:rFonts w:cs="Arial"/>
          <w:color w:val="000000"/>
        </w:rPr>
      </w:pPr>
      <w:r>
        <w:rPr>
          <w:rFonts w:cs="Arial"/>
          <w:color w:val="000000"/>
        </w:rPr>
        <w:t>Knowledge of current medical practices and issues, and evidence of an appropriate level of expertise in the skills of the discipline.</w:t>
      </w:r>
    </w:p>
    <w:p w14:paraId="535A85A0" w14:textId="77777777" w:rsidR="00950590" w:rsidRDefault="00950590" w:rsidP="000A7694">
      <w:pPr>
        <w:numPr>
          <w:ilvl w:val="0"/>
          <w:numId w:val="14"/>
        </w:numPr>
        <w:tabs>
          <w:tab w:val="left" w:pos="426"/>
          <w:tab w:val="left" w:pos="851"/>
          <w:tab w:val="left" w:pos="3544"/>
        </w:tabs>
        <w:suppressAutoHyphens/>
        <w:overflowPunct w:val="0"/>
        <w:autoSpaceDE w:val="0"/>
        <w:autoSpaceDN w:val="0"/>
        <w:adjustRightInd w:val="0"/>
        <w:spacing w:after="120"/>
        <w:jc w:val="both"/>
        <w:textAlignment w:val="baseline"/>
        <w:rPr>
          <w:rFonts w:cs="Arial"/>
          <w:spacing w:val="-3"/>
        </w:rPr>
      </w:pPr>
      <w:r>
        <w:rPr>
          <w:rFonts w:cs="Arial"/>
          <w:spacing w:val="-3"/>
        </w:rPr>
        <w:t>Demonstrated ability to review, analyse and evaluate patient care for the identification of appropriate treatment and investigations.</w:t>
      </w:r>
    </w:p>
    <w:p w14:paraId="52C53A3E" w14:textId="77777777" w:rsidR="00950590" w:rsidRDefault="00950590" w:rsidP="000A7694">
      <w:pPr>
        <w:numPr>
          <w:ilvl w:val="0"/>
          <w:numId w:val="14"/>
        </w:numPr>
        <w:tabs>
          <w:tab w:val="left" w:pos="0"/>
          <w:tab w:val="left" w:pos="851"/>
          <w:tab w:val="left" w:pos="3544"/>
        </w:tabs>
        <w:suppressAutoHyphens/>
        <w:overflowPunct w:val="0"/>
        <w:autoSpaceDE w:val="0"/>
        <w:autoSpaceDN w:val="0"/>
        <w:adjustRightInd w:val="0"/>
        <w:spacing w:after="120"/>
        <w:jc w:val="both"/>
        <w:textAlignment w:val="baseline"/>
        <w:rPr>
          <w:rFonts w:cs="Arial"/>
          <w:spacing w:val="-3"/>
        </w:rPr>
      </w:pPr>
      <w:r>
        <w:rPr>
          <w:rFonts w:cs="Arial"/>
          <w:spacing w:val="-3"/>
        </w:rPr>
        <w:t>Ability to maintain accurate and complete medical records – clinical, administrative and statistical.</w:t>
      </w:r>
    </w:p>
    <w:p w14:paraId="735844AC" w14:textId="77777777" w:rsidR="00950590" w:rsidRDefault="00950590" w:rsidP="000A7694">
      <w:pPr>
        <w:numPr>
          <w:ilvl w:val="0"/>
          <w:numId w:val="14"/>
        </w:numPr>
        <w:tabs>
          <w:tab w:val="left" w:pos="0"/>
          <w:tab w:val="left" w:pos="851"/>
          <w:tab w:val="left" w:pos="3544"/>
        </w:tabs>
        <w:suppressAutoHyphens/>
        <w:overflowPunct w:val="0"/>
        <w:autoSpaceDE w:val="0"/>
        <w:autoSpaceDN w:val="0"/>
        <w:adjustRightInd w:val="0"/>
        <w:spacing w:after="120"/>
        <w:jc w:val="both"/>
        <w:textAlignment w:val="baseline"/>
        <w:rPr>
          <w:rFonts w:cs="Arial"/>
          <w:spacing w:val="-3"/>
        </w:rPr>
      </w:pPr>
      <w:r>
        <w:rPr>
          <w:rFonts w:cs="Arial"/>
          <w:spacing w:val="-3"/>
        </w:rPr>
        <w:t>Well-developed communication skills (written, oral and interpersonal skills) with the ability to communicate with all levels of staff and hospital clients from a variety of backgrounds.</w:t>
      </w:r>
    </w:p>
    <w:p w14:paraId="1C4F66C2" w14:textId="77777777" w:rsidR="00950590" w:rsidRDefault="00950590" w:rsidP="000A7694">
      <w:pPr>
        <w:numPr>
          <w:ilvl w:val="0"/>
          <w:numId w:val="14"/>
        </w:numPr>
        <w:spacing w:after="120"/>
        <w:jc w:val="both"/>
        <w:rPr>
          <w:rFonts w:cs="Arial"/>
          <w:color w:val="000000"/>
        </w:rPr>
      </w:pPr>
      <w:r>
        <w:rPr>
          <w:rFonts w:cs="Arial"/>
          <w:color w:val="000000"/>
        </w:rPr>
        <w:t>A personal commitment to the maintenance of high standards in the clinical care to patients and proven ability to react promptly to emergency or urgent situations impacting upon patient care.</w:t>
      </w:r>
    </w:p>
    <w:p w14:paraId="2D25E616" w14:textId="77777777" w:rsidR="00950590" w:rsidRDefault="00950590" w:rsidP="000A7694">
      <w:pPr>
        <w:numPr>
          <w:ilvl w:val="0"/>
          <w:numId w:val="14"/>
        </w:numPr>
        <w:spacing w:after="120"/>
        <w:jc w:val="both"/>
        <w:rPr>
          <w:rFonts w:cs="Arial"/>
          <w:color w:val="000000"/>
        </w:rPr>
      </w:pPr>
      <w:r>
        <w:rPr>
          <w:rFonts w:cs="Arial"/>
          <w:color w:val="000000"/>
        </w:rPr>
        <w:t>Ability to practice medicine in a cross-cultural environment.</w:t>
      </w:r>
    </w:p>
    <w:p w14:paraId="21F8AA05" w14:textId="77777777" w:rsidR="00950590" w:rsidRDefault="00950590" w:rsidP="000A7694">
      <w:pPr>
        <w:numPr>
          <w:ilvl w:val="0"/>
          <w:numId w:val="14"/>
        </w:numPr>
        <w:spacing w:after="120"/>
        <w:jc w:val="both"/>
        <w:rPr>
          <w:rFonts w:cs="Arial"/>
          <w:color w:val="000000"/>
        </w:rPr>
      </w:pPr>
      <w:r>
        <w:rPr>
          <w:rFonts w:cs="Arial"/>
          <w:color w:val="000000"/>
        </w:rPr>
        <w:t xml:space="preserve"> Build relationships with patients and members of the multidisciplinary team, using strong communications skills and negotiation skills to understand needs and to deliver a service that meets their needs and policy guidelines.</w:t>
      </w:r>
    </w:p>
    <w:p w14:paraId="5B9F34FE" w14:textId="77777777" w:rsidR="00950590" w:rsidRDefault="00950590" w:rsidP="000A7694">
      <w:pPr>
        <w:numPr>
          <w:ilvl w:val="0"/>
          <w:numId w:val="14"/>
        </w:numPr>
        <w:jc w:val="both"/>
        <w:rPr>
          <w:rFonts w:cs="Arial"/>
          <w:color w:val="000000"/>
        </w:rPr>
      </w:pPr>
      <w:r>
        <w:rPr>
          <w:rFonts w:cs="Arial"/>
          <w:color w:val="000000"/>
        </w:rPr>
        <w:t>Actively participate in a working environment supporting quality human resource management practices including employment equity, anti-discrimination, occupational health and safety and ethical behaviour.</w:t>
      </w:r>
    </w:p>
    <w:p w14:paraId="159F933C" w14:textId="5729F0D7" w:rsidR="00B23013" w:rsidRPr="00CC6337" w:rsidRDefault="00B23013" w:rsidP="000A7694">
      <w:pPr>
        <w:pStyle w:val="Heading1"/>
        <w:spacing w:before="240" w:after="120"/>
        <w:jc w:val="both"/>
        <w:rPr>
          <w:sz w:val="24"/>
          <w:szCs w:val="24"/>
        </w:rPr>
      </w:pPr>
      <w:r w:rsidRPr="00D04923">
        <w:rPr>
          <w:sz w:val="24"/>
          <w:szCs w:val="24"/>
        </w:rPr>
        <w:t xml:space="preserve">Your </w:t>
      </w:r>
      <w:r w:rsidR="00DC7A8E">
        <w:rPr>
          <w:sz w:val="24"/>
          <w:szCs w:val="24"/>
        </w:rPr>
        <w:t>a</w:t>
      </w:r>
      <w:r w:rsidRPr="00D04923">
        <w:rPr>
          <w:sz w:val="24"/>
          <w:szCs w:val="24"/>
        </w:rPr>
        <w:t>pplication</w:t>
      </w:r>
    </w:p>
    <w:p w14:paraId="25E027DC" w14:textId="77777777" w:rsidR="00B23013" w:rsidRPr="00B23013" w:rsidRDefault="00B23013" w:rsidP="000A7694">
      <w:pPr>
        <w:spacing w:before="120" w:after="120"/>
        <w:jc w:val="both"/>
        <w:rPr>
          <w:rFonts w:eastAsia="Times New Roman" w:cs="Arial"/>
          <w:bCs/>
          <w:szCs w:val="20"/>
          <w:lang w:eastAsia="en-AU"/>
        </w:rPr>
      </w:pPr>
      <w:r w:rsidRPr="00B23013">
        <w:rPr>
          <w:rFonts w:eastAsia="Times New Roman" w:cs="Arial"/>
          <w:bCs/>
          <w:szCs w:val="20"/>
          <w:lang w:eastAsia="en-AU"/>
        </w:rPr>
        <w:t>Please provide the following information to the panel to assess your suitability:</w:t>
      </w:r>
    </w:p>
    <w:p w14:paraId="2365EC34" w14:textId="77777777" w:rsidR="00B23013" w:rsidRPr="00B23013" w:rsidRDefault="00B23013" w:rsidP="000A7694">
      <w:pPr>
        <w:pStyle w:val="BodyText"/>
        <w:numPr>
          <w:ilvl w:val="0"/>
          <w:numId w:val="14"/>
        </w:numPr>
        <w:spacing w:line="240" w:lineRule="auto"/>
        <w:jc w:val="both"/>
      </w:pPr>
      <w:r w:rsidRPr="00B23013">
        <w:t>Your current CV or resume, including referees. You must seek approval prior to nominating a person as a referee. Referees should have a thorough knowledge of your work performance and conduct, and it is preferable to include your current/immediate past supervisor. By providing the names and contact details of your referee/s you consent for these people to be contacted by the selection panel. If you do not wish for a referee to be contacted, please indicate this on your resume and contact the selection panel chair to discuss.</w:t>
      </w:r>
    </w:p>
    <w:p w14:paraId="18235318" w14:textId="5EFA57FE" w:rsidR="00B23013" w:rsidRDefault="00232628" w:rsidP="000A7694">
      <w:pPr>
        <w:pStyle w:val="BodyText"/>
        <w:numPr>
          <w:ilvl w:val="0"/>
          <w:numId w:val="14"/>
        </w:numPr>
        <w:spacing w:line="240" w:lineRule="auto"/>
        <w:jc w:val="both"/>
      </w:pPr>
      <w:r>
        <w:lastRenderedPageBreak/>
        <w:t>A short response (maximum of two</w:t>
      </w:r>
      <w:r w:rsidR="00B23013" w:rsidRPr="00B23013">
        <w:t xml:space="preserve"> pages) on how your experience, abilities, knowledge and personal qualities are relevant for the role, </w:t>
      </w:r>
      <w:r w:rsidR="00757F57">
        <w:t xml:space="preserve">addressing </w:t>
      </w:r>
      <w:r w:rsidR="00B23013" w:rsidRPr="00B23013">
        <w:t>the key responsibilities and key attributes of the position.</w:t>
      </w:r>
    </w:p>
    <w:p w14:paraId="547B4699" w14:textId="77777777" w:rsidR="00B23013" w:rsidRPr="00B23013" w:rsidRDefault="00B23013" w:rsidP="000A7694">
      <w:pPr>
        <w:pStyle w:val="BodyText"/>
        <w:numPr>
          <w:ilvl w:val="0"/>
          <w:numId w:val="14"/>
        </w:numPr>
        <w:spacing w:line="240" w:lineRule="auto"/>
        <w:jc w:val="both"/>
      </w:pPr>
      <w:r w:rsidRPr="00B23013">
        <w:t>Applications will remain current for 12 months after they have been submitted.</w:t>
      </w:r>
    </w:p>
    <w:p w14:paraId="1850325A" w14:textId="77777777" w:rsidR="00B23013" w:rsidRPr="00B23013" w:rsidRDefault="00B23013" w:rsidP="000A7694">
      <w:pPr>
        <w:pStyle w:val="BodyText"/>
        <w:numPr>
          <w:ilvl w:val="0"/>
          <w:numId w:val="14"/>
        </w:numPr>
        <w:spacing w:line="240" w:lineRule="auto"/>
        <w:jc w:val="both"/>
      </w:pPr>
      <w:r w:rsidRPr="00B23013">
        <w:t xml:space="preserve">Future vacancies of a similar nature throughout the </w:t>
      </w:r>
      <w:smartTag w:uri="urn:schemas-microsoft-com:office:smarttags" w:element="place">
        <w:smartTag w:uri="urn:schemas-microsoft-com:office:smarttags" w:element="PlaceName">
          <w:r w:rsidRPr="00B23013">
            <w:t>Townsville</w:t>
          </w:r>
        </w:smartTag>
        <w:r w:rsidRPr="00B23013">
          <w:t xml:space="preserve"> </w:t>
        </w:r>
        <w:smartTag w:uri="urn:schemas-microsoft-com:office:smarttags" w:element="PlaceType">
          <w:r w:rsidRPr="00B23013">
            <w:t>Hospital</w:t>
          </w:r>
        </w:smartTag>
      </w:smartTag>
      <w:r w:rsidRPr="00B23013">
        <w:t xml:space="preserve"> and Health Service may also be filled through this recruitment process.</w:t>
      </w:r>
    </w:p>
    <w:p w14:paraId="57A86735" w14:textId="2847F2DA" w:rsidR="00B23013" w:rsidRDefault="00B23013" w:rsidP="000A7694">
      <w:pPr>
        <w:pStyle w:val="BodyText"/>
        <w:spacing w:line="240" w:lineRule="auto"/>
        <w:jc w:val="both"/>
      </w:pPr>
      <w:r>
        <w:t>Once completed, your application should be submitted online – visit</w:t>
      </w:r>
      <w:r w:rsidR="00BE5724">
        <w:t xml:space="preserve"> the</w:t>
      </w:r>
      <w:r>
        <w:t xml:space="preserve"> </w:t>
      </w:r>
      <w:hyperlink r:id="rId11" w:history="1">
        <w:r w:rsidR="00BE5724">
          <w:rPr>
            <w:rStyle w:val="Hyperlink"/>
          </w:rPr>
          <w:t>Smart Jobs and Careers website</w:t>
        </w:r>
      </w:hyperlink>
      <w:r>
        <w:t xml:space="preserve">. If you have </w:t>
      </w:r>
      <w:r w:rsidR="00005250">
        <w:t>difficulties,</w:t>
      </w:r>
      <w:r>
        <w:t xml:space="preserve"> please contact Recruitment Services on 1300 193 156. </w:t>
      </w:r>
    </w:p>
    <w:p w14:paraId="728C4527" w14:textId="77777777" w:rsidR="00935303" w:rsidRPr="00CC6337" w:rsidRDefault="00935303" w:rsidP="000A7694">
      <w:pPr>
        <w:pStyle w:val="Heading1"/>
        <w:spacing w:before="240" w:after="120"/>
        <w:jc w:val="both"/>
        <w:rPr>
          <w:sz w:val="24"/>
          <w:szCs w:val="24"/>
        </w:rPr>
      </w:pPr>
      <w:r w:rsidRPr="00D04923">
        <w:rPr>
          <w:sz w:val="24"/>
          <w:szCs w:val="24"/>
        </w:rPr>
        <w:t xml:space="preserve">About the Townsville Hospital and Health Service </w:t>
      </w:r>
    </w:p>
    <w:p w14:paraId="0BCE6AAE" w14:textId="2D83C7DB" w:rsidR="004B00B7" w:rsidRDefault="00935303" w:rsidP="000A7694">
      <w:pPr>
        <w:spacing w:before="120" w:after="120"/>
        <w:jc w:val="both"/>
      </w:pPr>
      <w:r w:rsidRPr="00935303">
        <w:t xml:space="preserve">The Townsville Hospital and Health Service (HHS) is </w:t>
      </w:r>
      <w:r w:rsidR="004B00B7">
        <w:t>the public healthcare provider for more than 250,000 people across a geographic area of 150,000km</w:t>
      </w:r>
      <w:r w:rsidR="004B00B7" w:rsidRPr="00154509">
        <w:rPr>
          <w:vertAlign w:val="superscript"/>
        </w:rPr>
        <w:t>2</w:t>
      </w:r>
      <w:r w:rsidR="004B00B7">
        <w:t>.</w:t>
      </w:r>
    </w:p>
    <w:p w14:paraId="3396F952" w14:textId="227CB1A6" w:rsidR="004B00B7" w:rsidRDefault="004B00B7" w:rsidP="000A7694">
      <w:pPr>
        <w:spacing w:before="120" w:after="120"/>
        <w:jc w:val="both"/>
      </w:pPr>
      <w:r>
        <w:t>We serve the local government areas of Townsville, Burdekin, Charters Towers, Flinders, Richmond, Hinchinbrook and Palm Island</w:t>
      </w:r>
      <w:r w:rsidR="00154509">
        <w:t>.</w:t>
      </w:r>
    </w:p>
    <w:p w14:paraId="4D637EB7" w14:textId="6953AE81" w:rsidR="004B00B7" w:rsidRDefault="004B00B7" w:rsidP="000A7694">
      <w:pPr>
        <w:spacing w:before="120" w:after="120"/>
        <w:jc w:val="both"/>
      </w:pPr>
      <w:r>
        <w:t xml:space="preserve">In doing so, we operate 21 facilities: 19 hospitals and health centres and two residential aged care homes.  More than 6,600 staff work across our facilities, which is about one in every 17 working people, making us members of the communities we serve. </w:t>
      </w:r>
    </w:p>
    <w:p w14:paraId="4A5A684C" w14:textId="3CD237F8" w:rsidR="004B00B7" w:rsidRDefault="004B00B7" w:rsidP="000A7694">
      <w:pPr>
        <w:spacing w:before="120" w:after="120"/>
        <w:jc w:val="both"/>
      </w:pPr>
      <w:r>
        <w:t>We provide a comprehensive range of services, fr</w:t>
      </w:r>
      <w:r w:rsidR="00D9169D">
        <w:t>o</w:t>
      </w:r>
      <w:r>
        <w:t xml:space="preserve">m primary care in remote locations, to highly specialised care at Townsville University Hospital.  This is the largest tertiary hospital in Northern Australia, providing specialist referral services for the 700,000 people living from Mackay to the Torres Strait, to the Northern Territory border. </w:t>
      </w:r>
    </w:p>
    <w:p w14:paraId="5FB59A36" w14:textId="080AFC26" w:rsidR="004B00B7" w:rsidRDefault="004B00B7" w:rsidP="000A7694">
      <w:pPr>
        <w:spacing w:before="120" w:after="120"/>
        <w:jc w:val="both"/>
      </w:pPr>
      <w:r>
        <w:t xml:space="preserve">More than providing the healthcare of today, we are planning and innovating for the future.  Our staff and collaborators are advancing healthcare through impactful research. While as a major teaching hospital, we are training tomorrow’s doctors, nurses, midwives, allied health practitioners, and more. </w:t>
      </w:r>
    </w:p>
    <w:p w14:paraId="06865D60" w14:textId="5D61A6EB" w:rsidR="004B00B7" w:rsidRPr="00190411" w:rsidRDefault="004B00B7" w:rsidP="00190411">
      <w:pPr>
        <w:pStyle w:val="Heading1"/>
        <w:spacing w:before="240" w:after="120"/>
        <w:jc w:val="both"/>
        <w:rPr>
          <w:b w:val="0"/>
          <w:bCs/>
          <w:sz w:val="20"/>
          <w:szCs w:val="20"/>
        </w:rPr>
      </w:pPr>
      <w:r w:rsidRPr="009A606B">
        <w:rPr>
          <w:b w:val="0"/>
          <w:bCs/>
          <w:color w:val="000000" w:themeColor="text1"/>
          <w:sz w:val="20"/>
          <w:szCs w:val="20"/>
        </w:rPr>
        <w:t xml:space="preserve">Our vision is world-class healthcare for northern Queensland. The </w:t>
      </w:r>
      <w:hyperlink r:id="rId12" w:history="1">
        <w:r w:rsidR="00D707E5" w:rsidRPr="009A606B">
          <w:rPr>
            <w:rStyle w:val="Hyperlink"/>
            <w:b w:val="0"/>
            <w:bCs/>
            <w:sz w:val="20"/>
            <w:szCs w:val="20"/>
          </w:rPr>
          <w:t>Townsville Hospital and Health Service Strategic plan 2022-2026</w:t>
        </w:r>
      </w:hyperlink>
      <w:r w:rsidR="00D707E5" w:rsidRPr="009A606B">
        <w:rPr>
          <w:rStyle w:val="Hyperlink"/>
          <w:b w:val="0"/>
          <w:bCs/>
          <w:sz w:val="20"/>
          <w:szCs w:val="20"/>
        </w:rPr>
        <w:t xml:space="preserve"> </w:t>
      </w:r>
      <w:r w:rsidRPr="009A606B">
        <w:rPr>
          <w:b w:val="0"/>
          <w:bCs/>
          <w:color w:val="000000" w:themeColor="text1"/>
          <w:sz w:val="20"/>
          <w:szCs w:val="20"/>
        </w:rPr>
        <w:t xml:space="preserve">commits to this ambitious direction, outlines our strategic objectives and lists the measures we will use to know we have achieved them.  </w:t>
      </w:r>
    </w:p>
    <w:p w14:paraId="60E6A4CC" w14:textId="77777777" w:rsidR="00190411" w:rsidRPr="005811D1" w:rsidRDefault="00190411" w:rsidP="00164052">
      <w:pPr>
        <w:spacing w:before="120" w:after="120"/>
        <w:ind w:left="1985" w:hanging="1985"/>
        <w:rPr>
          <w:rFonts w:eastAsia="Times New Roman"/>
          <w:b/>
          <w:color w:val="00A1DE" w:themeColor="background2"/>
          <w:sz w:val="24"/>
          <w:szCs w:val="24"/>
        </w:rPr>
      </w:pPr>
      <w:r>
        <w:rPr>
          <w:rFonts w:eastAsia="Times New Roman"/>
          <w:b/>
          <w:color w:val="003491"/>
          <w:sz w:val="24"/>
          <w:szCs w:val="24"/>
        </w:rPr>
        <w:t>Our Vision:</w:t>
      </w:r>
      <w:r>
        <w:rPr>
          <w:rFonts w:eastAsia="Times New Roman"/>
          <w:b/>
          <w:color w:val="003491"/>
          <w:sz w:val="24"/>
          <w:szCs w:val="24"/>
        </w:rPr>
        <w:tab/>
      </w:r>
      <w:r>
        <w:rPr>
          <w:rFonts w:eastAsia="Times New Roman"/>
          <w:b/>
          <w:color w:val="00A1DE" w:themeColor="background2"/>
          <w:sz w:val="24"/>
          <w:szCs w:val="24"/>
        </w:rPr>
        <w:t>World-class healthcare for northern Queensland</w:t>
      </w:r>
    </w:p>
    <w:p w14:paraId="0B4D0400" w14:textId="77777777" w:rsidR="00190411" w:rsidRDefault="00190411" w:rsidP="00164052">
      <w:pPr>
        <w:pStyle w:val="BodyText"/>
        <w:spacing w:line="240" w:lineRule="auto"/>
        <w:ind w:left="1985" w:hanging="1985"/>
        <w:rPr>
          <w:rFonts w:eastAsia="Times New Roman"/>
          <w:b/>
          <w:color w:val="003491"/>
          <w:sz w:val="24"/>
          <w:szCs w:val="24"/>
        </w:rPr>
      </w:pPr>
      <w:r>
        <w:rPr>
          <w:rFonts w:eastAsia="Times New Roman"/>
          <w:b/>
          <w:color w:val="003491"/>
          <w:sz w:val="24"/>
          <w:szCs w:val="24"/>
        </w:rPr>
        <w:t>Our Purpose</w:t>
      </w:r>
      <w:r w:rsidRPr="00B7182D">
        <w:rPr>
          <w:rFonts w:eastAsia="Times New Roman"/>
          <w:b/>
          <w:color w:val="003491"/>
          <w:sz w:val="24"/>
          <w:szCs w:val="24"/>
        </w:rPr>
        <w:t>:</w:t>
      </w:r>
      <w:r>
        <w:rPr>
          <w:rFonts w:eastAsia="Times New Roman"/>
          <w:b/>
          <w:color w:val="003491"/>
          <w:sz w:val="24"/>
          <w:szCs w:val="24"/>
        </w:rPr>
        <w:tab/>
      </w:r>
      <w:r>
        <w:rPr>
          <w:rFonts w:eastAsia="Times New Roman"/>
          <w:b/>
          <w:color w:val="00A1DE" w:themeColor="background2"/>
          <w:sz w:val="24"/>
          <w:szCs w:val="24"/>
        </w:rPr>
        <w:t>Great care every day</w:t>
      </w:r>
    </w:p>
    <w:p w14:paraId="249F17F8" w14:textId="77777777" w:rsidR="00190411" w:rsidRDefault="00190411" w:rsidP="00164052">
      <w:pPr>
        <w:pStyle w:val="BodyText"/>
        <w:spacing w:line="240" w:lineRule="auto"/>
        <w:ind w:left="1985" w:hanging="1985"/>
        <w:rPr>
          <w:rFonts w:eastAsia="Times New Roman"/>
          <w:b/>
          <w:color w:val="00A1DE" w:themeColor="background2"/>
          <w:sz w:val="24"/>
          <w:szCs w:val="24"/>
        </w:rPr>
      </w:pPr>
      <w:r>
        <w:rPr>
          <w:noProof/>
        </w:rPr>
        <w:drawing>
          <wp:anchor distT="0" distB="0" distL="114300" distR="114300" simplePos="0" relativeHeight="251657216" behindDoc="0" locked="0" layoutInCell="1" allowOverlap="1" wp14:anchorId="4205FE4C" wp14:editId="7AF97702">
            <wp:simplePos x="0" y="0"/>
            <wp:positionH relativeFrom="column">
              <wp:posOffset>1259840</wp:posOffset>
            </wp:positionH>
            <wp:positionV relativeFrom="paragraph">
              <wp:posOffset>88900</wp:posOffset>
            </wp:positionV>
            <wp:extent cx="5105400" cy="1093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05400" cy="109347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color w:val="003491"/>
          <w:sz w:val="24"/>
          <w:szCs w:val="24"/>
        </w:rPr>
        <w:t>Our Values:</w:t>
      </w:r>
      <w:r>
        <w:rPr>
          <w:rFonts w:eastAsia="Times New Roman"/>
          <w:b/>
          <w:color w:val="003491"/>
          <w:sz w:val="24"/>
          <w:szCs w:val="24"/>
        </w:rPr>
        <w:tab/>
      </w:r>
    </w:p>
    <w:p w14:paraId="1E7482D4" w14:textId="173EC03D" w:rsidR="00190411" w:rsidRPr="002C5078" w:rsidRDefault="00190411" w:rsidP="00190411">
      <w:pPr>
        <w:spacing w:before="120" w:after="120"/>
        <w:rPr>
          <w:rFonts w:eastAsia="Times New Roman"/>
          <w:color w:val="000000"/>
          <w:szCs w:val="20"/>
        </w:rPr>
      </w:pPr>
      <w:r w:rsidRPr="00A7453C">
        <w:rPr>
          <w:rFonts w:eastAsia="Times New Roman"/>
          <w:color w:val="000000"/>
          <w:szCs w:val="20"/>
        </w:rPr>
        <w:t>Please visit our website for additional information about</w:t>
      </w:r>
      <w:r>
        <w:rPr>
          <w:rFonts w:eastAsia="Times New Roman"/>
          <w:color w:val="000000"/>
          <w:szCs w:val="20"/>
        </w:rPr>
        <w:t xml:space="preserve"> the</w:t>
      </w:r>
      <w:r w:rsidRPr="00A7453C">
        <w:rPr>
          <w:rFonts w:eastAsia="Times New Roman"/>
          <w:color w:val="000000"/>
          <w:szCs w:val="20"/>
        </w:rPr>
        <w:t xml:space="preserve"> </w:t>
      </w:r>
      <w:hyperlink r:id="rId14" w:history="1">
        <w:r w:rsidRPr="00CC4416">
          <w:rPr>
            <w:rStyle w:val="Hyperlink"/>
            <w:b/>
            <w:bCs/>
          </w:rPr>
          <w:t>Townsville Hospital and Health Service</w:t>
        </w:r>
      </w:hyperlink>
      <w:r w:rsidRPr="002C5078">
        <w:rPr>
          <w:b/>
          <w:bCs/>
          <w:u w:val="single"/>
        </w:rPr>
        <w:t xml:space="preserve"> </w:t>
      </w:r>
    </w:p>
    <w:p w14:paraId="55DCA8CB" w14:textId="74DE2DA6" w:rsidR="00624C97" w:rsidRDefault="00624C97" w:rsidP="000A7694">
      <w:pPr>
        <w:pStyle w:val="Heading1"/>
        <w:spacing w:before="240" w:after="120"/>
        <w:jc w:val="both"/>
        <w:rPr>
          <w:sz w:val="24"/>
          <w:szCs w:val="24"/>
        </w:rPr>
      </w:pPr>
      <w:r w:rsidRPr="00D04923">
        <w:rPr>
          <w:sz w:val="24"/>
          <w:szCs w:val="24"/>
        </w:rPr>
        <w:t xml:space="preserve">Health </w:t>
      </w:r>
      <w:r>
        <w:rPr>
          <w:sz w:val="24"/>
          <w:szCs w:val="24"/>
        </w:rPr>
        <w:t xml:space="preserve">Equity and Racism </w:t>
      </w:r>
    </w:p>
    <w:p w14:paraId="6AB48050" w14:textId="77777777" w:rsidR="00624C97" w:rsidRDefault="00624C97" w:rsidP="000A7694">
      <w:pPr>
        <w:jc w:val="both"/>
      </w:pPr>
      <w:r>
        <w:t xml:space="preserve">Townsville Hospital and Health Service has set out its actions and agreed key performance measures to improve Aboriginal and Torres Strait Islander people’s health and wellbeing outcomes.  The Health Equity Strategy and Implementation Plan can be found at </w:t>
      </w:r>
      <w:hyperlink r:id="rId15" w:history="1">
        <w:r>
          <w:rPr>
            <w:rStyle w:val="Hyperlink"/>
          </w:rPr>
          <w:t>First Nations Health Equity Strategy 2022-2025 and Implementation Plan</w:t>
        </w:r>
      </w:hyperlink>
    </w:p>
    <w:p w14:paraId="2EA75CC7" w14:textId="77777777" w:rsidR="00624C97" w:rsidRDefault="00624C97" w:rsidP="000A7694">
      <w:pPr>
        <w:spacing w:before="120" w:line="276" w:lineRule="auto"/>
        <w:jc w:val="both"/>
      </w:pPr>
      <w:r>
        <w:t>Racism is a key structural determinant of Aboriginal and Torres Strait Islander people’s health inequity. Racism is not always conscious, explicit, or readily visible - often it is systemic. Systemic or institutional racism are forms of racism that are widely and deeply embedded in systems, laws, written or unwritten policies and well-established practices and beliefs that produce, condone, and perpetuate widespread unfair treatment, causing and/or contributing to inherited disadvantage.</w:t>
      </w:r>
    </w:p>
    <w:p w14:paraId="23902079" w14:textId="77777777" w:rsidR="00624C97" w:rsidRDefault="00624C97" w:rsidP="000A7694">
      <w:pPr>
        <w:spacing w:before="120" w:line="276" w:lineRule="auto"/>
        <w:jc w:val="both"/>
      </w:pPr>
      <w:r>
        <w:t xml:space="preserve">It is expected that all Townsville Hospital and Health Service staff, including the incumbent of this role as a valuable member of the Townsville Hospital and Health Service workforce, contribute to the health equity agenda and meet the intent of supporting the defined six actions that specifically meet the needs of Aboriginal and Torres Strait Islander people within the National Safety and Quality Health Service Standards (NSQHS), by actively supporting the elimination of racial discrimination and institutional racism; supporting increased access to health care; influencing the social, cultural and economic determinants of health; supporting the delivery of sustainable, culturally safe and </w:t>
      </w:r>
      <w:r>
        <w:lastRenderedPageBreak/>
        <w:t>responsive health services;  and recognise the importance of working with Aboriginal and Torres Strait Islander peoples, communities and organisations to design, deliver, monitor and review the health and support services we provide.</w:t>
      </w:r>
    </w:p>
    <w:p w14:paraId="16C7A5CF" w14:textId="0D95CB3F" w:rsidR="00A7453C" w:rsidRPr="00CC6337" w:rsidRDefault="00A7453C" w:rsidP="000A7694">
      <w:pPr>
        <w:pStyle w:val="Heading1"/>
        <w:spacing w:before="240" w:after="120"/>
        <w:jc w:val="both"/>
        <w:rPr>
          <w:sz w:val="24"/>
          <w:szCs w:val="24"/>
        </w:rPr>
      </w:pPr>
      <w:r w:rsidRPr="00D04923">
        <w:rPr>
          <w:sz w:val="24"/>
          <w:szCs w:val="24"/>
        </w:rPr>
        <w:t xml:space="preserve">Additional </w:t>
      </w:r>
      <w:r w:rsidR="00DC7A8E">
        <w:rPr>
          <w:sz w:val="24"/>
          <w:szCs w:val="24"/>
        </w:rPr>
        <w:t>i</w:t>
      </w:r>
      <w:r w:rsidRPr="00D04923">
        <w:rPr>
          <w:sz w:val="24"/>
          <w:szCs w:val="24"/>
        </w:rPr>
        <w:t>nformation</w:t>
      </w:r>
    </w:p>
    <w:p w14:paraId="0430A8EE" w14:textId="77777777" w:rsidR="00C15284" w:rsidRPr="00306E07" w:rsidRDefault="00C15284" w:rsidP="000A7694">
      <w:pPr>
        <w:numPr>
          <w:ilvl w:val="0"/>
          <w:numId w:val="14"/>
        </w:numPr>
        <w:spacing w:before="120" w:after="120"/>
        <w:jc w:val="both"/>
        <w:rPr>
          <w:rFonts w:cs="Arial"/>
          <w:bCs/>
          <w:szCs w:val="20"/>
        </w:rPr>
      </w:pPr>
      <w:r w:rsidRPr="00306E07">
        <w:rPr>
          <w:rFonts w:cs="Arial"/>
          <w:bCs/>
          <w:szCs w:val="20"/>
        </w:rPr>
        <w:t xml:space="preserve">Pre-employment screening, including criminal history, aged care checks, and discipline history checks, may be undertaken on persons recommended for employment.  Roles providing health, counselling and support services to children will require a ‘working with children check’ from the Blue Card Services Department of Justice and Attorney-General prior to appointment, unless otherwise exempt. </w:t>
      </w:r>
    </w:p>
    <w:p w14:paraId="59CD64D0" w14:textId="296140B4" w:rsidR="00C15284" w:rsidRPr="00600593" w:rsidRDefault="00837916" w:rsidP="000A7694">
      <w:pPr>
        <w:numPr>
          <w:ilvl w:val="0"/>
          <w:numId w:val="14"/>
        </w:numPr>
        <w:spacing w:before="120" w:after="120"/>
        <w:jc w:val="both"/>
        <w:rPr>
          <w:rFonts w:cs="Arial"/>
          <w:bCs/>
          <w:szCs w:val="20"/>
        </w:rPr>
      </w:pPr>
      <w:r>
        <w:rPr>
          <w:rFonts w:cs="Arial"/>
          <w:bCs/>
          <w:szCs w:val="20"/>
        </w:rPr>
        <w:t>E</w:t>
      </w:r>
      <w:r w:rsidR="00C15284" w:rsidRPr="00600593">
        <w:rPr>
          <w:rFonts w:cs="Arial"/>
          <w:bCs/>
          <w:szCs w:val="20"/>
        </w:rPr>
        <w:t>mployees</w:t>
      </w:r>
      <w:r>
        <w:rPr>
          <w:rFonts w:cs="Arial"/>
          <w:bCs/>
          <w:szCs w:val="20"/>
        </w:rPr>
        <w:t xml:space="preserve"> who are </w:t>
      </w:r>
      <w:r w:rsidR="00891B5F" w:rsidRPr="00600593">
        <w:rPr>
          <w:rFonts w:cs="Arial"/>
          <w:bCs/>
          <w:szCs w:val="20"/>
        </w:rPr>
        <w:t>appointed to Queensland Health</w:t>
      </w:r>
      <w:r w:rsidR="00891B5F">
        <w:rPr>
          <w:rFonts w:cs="Arial"/>
          <w:bCs/>
          <w:szCs w:val="20"/>
        </w:rPr>
        <w:t xml:space="preserve"> </w:t>
      </w:r>
      <w:r>
        <w:rPr>
          <w:rFonts w:cs="Arial"/>
          <w:bCs/>
          <w:szCs w:val="20"/>
        </w:rPr>
        <w:t xml:space="preserve">may be required to undertake a period of probation </w:t>
      </w:r>
      <w:r w:rsidR="00C15284" w:rsidRPr="00600593">
        <w:rPr>
          <w:rFonts w:cs="Arial"/>
          <w:bCs/>
          <w:szCs w:val="20"/>
        </w:rPr>
        <w:t>appropriate to the appointment</w:t>
      </w:r>
      <w:r>
        <w:rPr>
          <w:rFonts w:cs="Arial"/>
          <w:bCs/>
          <w:szCs w:val="20"/>
        </w:rPr>
        <w:t xml:space="preserve">.  For further information, refer to </w:t>
      </w:r>
      <w:r w:rsidR="00A62D3C">
        <w:rPr>
          <w:rFonts w:cs="Arial"/>
          <w:bCs/>
          <w:szCs w:val="20"/>
        </w:rPr>
        <w:t xml:space="preserve">Probation HR Policy B2. </w:t>
      </w:r>
      <w:r>
        <w:rPr>
          <w:rFonts w:cs="Arial"/>
          <w:bCs/>
          <w:szCs w:val="20"/>
        </w:rPr>
        <w:t xml:space="preserve"> </w:t>
      </w:r>
    </w:p>
    <w:p w14:paraId="37A15BCD" w14:textId="77777777" w:rsidR="00C15284" w:rsidRDefault="00C15284" w:rsidP="000A7694">
      <w:pPr>
        <w:numPr>
          <w:ilvl w:val="0"/>
          <w:numId w:val="14"/>
        </w:numPr>
        <w:spacing w:before="120" w:after="120"/>
        <w:jc w:val="both"/>
        <w:rPr>
          <w:rFonts w:cs="Arial"/>
          <w:bCs/>
          <w:szCs w:val="20"/>
        </w:rPr>
      </w:pPr>
      <w:r>
        <w:rPr>
          <w:rFonts w:cs="Arial"/>
          <w:bCs/>
          <w:szCs w:val="20"/>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444B91F4" w14:textId="24B7FF34" w:rsidR="00C15284" w:rsidRPr="00154509" w:rsidRDefault="00C15284" w:rsidP="000A7694">
      <w:pPr>
        <w:pStyle w:val="BodyText"/>
        <w:numPr>
          <w:ilvl w:val="0"/>
          <w:numId w:val="14"/>
        </w:numPr>
        <w:spacing w:line="240" w:lineRule="auto"/>
        <w:jc w:val="both"/>
        <w:rPr>
          <w:rFonts w:cs="Arial"/>
          <w:bCs/>
          <w:color w:val="auto"/>
          <w:szCs w:val="20"/>
        </w:rPr>
      </w:pPr>
      <w:r w:rsidRPr="009E2F07">
        <w:t xml:space="preserve">Applicants will be required to give a statement of their employment as a lobbyist within one (1) month of taking up the appointment. Details </w:t>
      </w:r>
      <w:hyperlink r:id="rId16" w:history="1">
        <w:r w:rsidRPr="00CC4416">
          <w:rPr>
            <w:rStyle w:val="Hyperlink"/>
          </w:rPr>
          <w:t>Lobbyist Disclosure</w:t>
        </w:r>
      </w:hyperlink>
      <w:r w:rsidR="00154509" w:rsidRPr="00154509">
        <w:rPr>
          <w:rFonts w:eastAsia="Times New Roman"/>
          <w:color w:val="auto"/>
          <w:szCs w:val="20"/>
          <w:lang w:eastAsia="en-AU"/>
        </w:rPr>
        <w:t>.</w:t>
      </w:r>
    </w:p>
    <w:p w14:paraId="222B0640" w14:textId="41C635D2" w:rsidR="00C15284" w:rsidRPr="00154509" w:rsidRDefault="00C15284" w:rsidP="000A7694">
      <w:pPr>
        <w:numPr>
          <w:ilvl w:val="0"/>
          <w:numId w:val="14"/>
        </w:numPr>
        <w:spacing w:before="120" w:after="120"/>
        <w:jc w:val="both"/>
        <w:rPr>
          <w:rFonts w:cs="Arial"/>
          <w:bCs/>
          <w:szCs w:val="20"/>
        </w:rPr>
      </w:pPr>
      <w:r w:rsidRPr="002C5078">
        <w:rPr>
          <w:rFonts w:cs="Arial"/>
          <w:bCs/>
          <w:szCs w:val="20"/>
        </w:rPr>
        <w:t>Applicants may be required to disclose any pre-existing illness or injury which may impact on their ability to perform the</w:t>
      </w:r>
      <w:r>
        <w:rPr>
          <w:rFonts w:cs="Arial"/>
          <w:bCs/>
          <w:szCs w:val="20"/>
        </w:rPr>
        <w:t xml:space="preserve"> role. </w:t>
      </w:r>
      <w:r w:rsidRPr="00600593">
        <w:rPr>
          <w:rFonts w:cs="Arial"/>
          <w:bCs/>
          <w:szCs w:val="20"/>
        </w:rPr>
        <w:t xml:space="preserve">Details are available in section 571 of the </w:t>
      </w:r>
      <w:hyperlink r:id="rId17" w:history="1">
        <w:r w:rsidRPr="00CC4416">
          <w:rPr>
            <w:rStyle w:val="Hyperlink"/>
          </w:rPr>
          <w:t>Workers' Compensation and Rehabilitation Act 2003</w:t>
        </w:r>
      </w:hyperlink>
      <w:r w:rsidR="00154509" w:rsidRPr="00CC4416">
        <w:rPr>
          <w:rStyle w:val="Hyperlink"/>
        </w:rPr>
        <w:t>.</w:t>
      </w:r>
    </w:p>
    <w:p w14:paraId="679B7919" w14:textId="100985FB" w:rsidR="00C15284" w:rsidRPr="00CC473F" w:rsidRDefault="000E3B79" w:rsidP="000A7694">
      <w:pPr>
        <w:numPr>
          <w:ilvl w:val="0"/>
          <w:numId w:val="14"/>
        </w:numPr>
        <w:spacing w:before="120" w:after="120"/>
        <w:jc w:val="both"/>
        <w:rPr>
          <w:color w:val="000000"/>
        </w:rPr>
      </w:pPr>
      <w:r>
        <w:rPr>
          <w:noProof/>
          <w:sz w:val="52"/>
          <w:szCs w:val="32"/>
        </w:rPr>
        <w:object w:dxaOrig="1440" w:dyaOrig="1440" w14:anchorId="3A47B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1.35pt;margin-top:57.45pt;width:478.95pt;height:480.55pt;z-index:-251658240;mso-position-horizontal-relative:text;mso-position-vertical-relative:text">
            <v:imagedata r:id="rId18" o:title=""/>
            <w10:wrap side="right"/>
          </v:shape>
          <o:OLEObject Type="Embed" ProgID="Visio.Drawing.11" ShapeID="_x0000_s2050" DrawAspect="Content" ObjectID="_1780486912" r:id="rId19"/>
        </w:object>
      </w:r>
      <w:r w:rsidR="00C15284" w:rsidRPr="003203E6">
        <w:rPr>
          <w:color w:val="000000"/>
        </w:rPr>
        <w:t>In</w:t>
      </w:r>
      <w:r w:rsidR="00C15284">
        <w:rPr>
          <w:color w:val="000000"/>
        </w:rPr>
        <w:t xml:space="preserve"> accordance with Government requirements and Queensland Health’s commitment to a healthier workplace the Queensland Health Smoking Management Policy supports a smoke-free environment.  Smoking is prohibited at all Queensland public hospitals and health facilities and for five (5) metres beyond their boundaries. Queensland Health employees may obtain assistance to quit smoking through staff program </w:t>
      </w:r>
      <w:r w:rsidR="00C15284">
        <w:rPr>
          <w:i/>
          <w:color w:val="000000"/>
        </w:rPr>
        <w:t xml:space="preserve">Quit Smoking for Life </w:t>
      </w:r>
      <w:r w:rsidR="00C15284">
        <w:rPr>
          <w:color w:val="000000"/>
        </w:rPr>
        <w:t xml:space="preserve">program. Information is available at </w:t>
      </w:r>
      <w:hyperlink r:id="rId20" w:history="1">
        <w:r w:rsidR="00C15284" w:rsidRPr="00CC4416">
          <w:rPr>
            <w:rStyle w:val="Hyperlink"/>
          </w:rPr>
          <w:t>Quit smoking.....for life!</w:t>
        </w:r>
      </w:hyperlink>
    </w:p>
    <w:p w14:paraId="5281A898" w14:textId="795E8195" w:rsidR="00A7453C" w:rsidRDefault="00A7453C" w:rsidP="000A7694">
      <w:pPr>
        <w:pStyle w:val="Heading1"/>
        <w:spacing w:before="240" w:after="120"/>
        <w:jc w:val="both"/>
        <w:rPr>
          <w:sz w:val="24"/>
          <w:szCs w:val="24"/>
        </w:rPr>
      </w:pPr>
      <w:r w:rsidRPr="00D04923">
        <w:rPr>
          <w:sz w:val="24"/>
          <w:szCs w:val="24"/>
        </w:rPr>
        <w:t xml:space="preserve">Organisational Chart </w:t>
      </w:r>
    </w:p>
    <w:bookmarkEnd w:id="0"/>
    <w:bookmarkEnd w:id="1"/>
    <w:p w14:paraId="38326223" w14:textId="1D9C4B82" w:rsidR="00950590" w:rsidRPr="00950590" w:rsidRDefault="00950590" w:rsidP="000A7694">
      <w:pPr>
        <w:pStyle w:val="BodyText"/>
        <w:jc w:val="both"/>
        <w:rPr>
          <w:lang w:val="en-US"/>
        </w:rPr>
      </w:pPr>
    </w:p>
    <w:sectPr w:rsidR="00950590" w:rsidRPr="00950590" w:rsidSect="00AA6F31">
      <w:footerReference w:type="default" r:id="rId21"/>
      <w:headerReference w:type="first" r:id="rId22"/>
      <w:footerReference w:type="first" r:id="rId23"/>
      <w:type w:val="continuous"/>
      <w:pgSz w:w="11906" w:h="16838" w:code="9"/>
      <w:pgMar w:top="709" w:right="849" w:bottom="1135" w:left="851" w:header="567" w:footer="0"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566C7" w14:textId="77777777" w:rsidR="00684380" w:rsidRDefault="00684380" w:rsidP="00723663">
      <w:r>
        <w:separator/>
      </w:r>
    </w:p>
  </w:endnote>
  <w:endnote w:type="continuationSeparator" w:id="0">
    <w:p w14:paraId="6E2442F3" w14:textId="77777777" w:rsidR="00684380" w:rsidRDefault="00684380" w:rsidP="0072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62"/>
      <w:gridCol w:w="3550"/>
      <w:gridCol w:w="3394"/>
    </w:tblGrid>
    <w:tr w:rsidR="00C72410" w:rsidRPr="00C41B4E" w14:paraId="6FD4AEB8" w14:textId="77777777" w:rsidTr="00A7453C">
      <w:trPr>
        <w:trHeight w:val="287"/>
      </w:trPr>
      <w:tc>
        <w:tcPr>
          <w:tcW w:w="3265" w:type="dxa"/>
          <w:shd w:val="clear" w:color="auto" w:fill="auto"/>
        </w:tcPr>
        <w:p w14:paraId="5CF3CBBB" w14:textId="77777777" w:rsidR="00C72410" w:rsidRPr="00935303" w:rsidRDefault="00C72410" w:rsidP="00A7453C">
          <w:pPr>
            <w:pStyle w:val="Footer"/>
            <w:rPr>
              <w:i/>
              <w:color w:val="808080" w:themeColor="background1" w:themeShade="80"/>
              <w:sz w:val="14"/>
              <w:szCs w:val="14"/>
            </w:rPr>
          </w:pPr>
          <w:r w:rsidRPr="00C41B4E">
            <w:t xml:space="preserve">Townsville Hospital </w:t>
          </w:r>
          <w:r w:rsidRPr="00C41B4E">
            <w:rPr>
              <w:color w:val="00A1DE"/>
            </w:rPr>
            <w:t>and Health Service</w:t>
          </w:r>
          <w:r>
            <w:rPr>
              <w:color w:val="00A1DE"/>
            </w:rPr>
            <w:t xml:space="preserve"> </w:t>
          </w:r>
        </w:p>
      </w:tc>
      <w:tc>
        <w:tcPr>
          <w:tcW w:w="3553" w:type="dxa"/>
        </w:tcPr>
        <w:p w14:paraId="0FDBB88D" w14:textId="77777777" w:rsidR="00C72410" w:rsidRPr="00935303" w:rsidRDefault="00C72410" w:rsidP="00935303">
          <w:pPr>
            <w:pStyle w:val="Footer"/>
            <w:rPr>
              <w:i/>
            </w:rPr>
          </w:pPr>
          <w:r w:rsidRPr="00935303">
            <w:rPr>
              <w:i/>
              <w:color w:val="00A1DE" w:themeColor="background2"/>
            </w:rPr>
            <w:t xml:space="preserve">Role Description </w:t>
          </w:r>
        </w:p>
      </w:tc>
      <w:tc>
        <w:tcPr>
          <w:tcW w:w="3398" w:type="dxa"/>
          <w:shd w:val="clear" w:color="auto" w:fill="auto"/>
        </w:tcPr>
        <w:p w14:paraId="7B43B71C" w14:textId="77777777" w:rsidR="00C72410" w:rsidRPr="00C41B4E" w:rsidRDefault="00C72410" w:rsidP="00C41B4E">
          <w:pPr>
            <w:pStyle w:val="Footer"/>
            <w:jc w:val="right"/>
          </w:pPr>
          <w:r w:rsidRPr="00C41B4E">
            <w:t xml:space="preserve">Page </w:t>
          </w:r>
          <w:r w:rsidRPr="00C41B4E">
            <w:fldChar w:fldCharType="begin"/>
          </w:r>
          <w:r w:rsidRPr="00C41B4E">
            <w:instrText xml:space="preserve"> PAGE   \* MERGEFORMAT </w:instrText>
          </w:r>
          <w:r w:rsidRPr="00C41B4E">
            <w:fldChar w:fldCharType="separate"/>
          </w:r>
          <w:r>
            <w:rPr>
              <w:noProof/>
            </w:rPr>
            <w:t>4</w:t>
          </w:r>
          <w:r w:rsidRPr="00C41B4E">
            <w:fldChar w:fldCharType="end"/>
          </w:r>
        </w:p>
      </w:tc>
    </w:tr>
    <w:tr w:rsidR="00C72410" w:rsidRPr="00C41B4E" w14:paraId="3C8E8BE3" w14:textId="77777777" w:rsidTr="00A7453C">
      <w:tc>
        <w:tcPr>
          <w:tcW w:w="6818" w:type="dxa"/>
          <w:gridSpan w:val="2"/>
          <w:shd w:val="clear" w:color="auto" w:fill="auto"/>
        </w:tcPr>
        <w:p w14:paraId="4D3FCB4B" w14:textId="77777777" w:rsidR="00C72410" w:rsidRPr="00A7453C" w:rsidRDefault="00C72410" w:rsidP="00935303">
          <w:pPr>
            <w:pStyle w:val="Footer"/>
            <w:rPr>
              <w:i/>
              <w:color w:val="00A1DE" w:themeColor="background2"/>
              <w:szCs w:val="16"/>
            </w:rPr>
          </w:pPr>
          <w:r w:rsidRPr="00A7453C">
            <w:rPr>
              <w:color w:val="808080" w:themeColor="background1" w:themeShade="80"/>
              <w:szCs w:val="16"/>
            </w:rPr>
            <w:t>To find out more about Queensland Health</w:t>
          </w:r>
          <w:r>
            <w:rPr>
              <w:color w:val="808080" w:themeColor="background1" w:themeShade="80"/>
              <w:szCs w:val="16"/>
            </w:rPr>
            <w:t>,</w:t>
          </w:r>
          <w:r w:rsidRPr="00A7453C">
            <w:rPr>
              <w:color w:val="808080" w:themeColor="background1" w:themeShade="80"/>
              <w:szCs w:val="16"/>
            </w:rPr>
            <w:t xml:space="preserve"> visit www.health.qld.gov.au</w:t>
          </w:r>
        </w:p>
      </w:tc>
      <w:tc>
        <w:tcPr>
          <w:tcW w:w="3398" w:type="dxa"/>
          <w:shd w:val="clear" w:color="auto" w:fill="auto"/>
        </w:tcPr>
        <w:p w14:paraId="2366DF3A" w14:textId="77777777" w:rsidR="00C72410" w:rsidRPr="00C41B4E" w:rsidRDefault="00C72410" w:rsidP="00C41B4E">
          <w:pPr>
            <w:pStyle w:val="Footer"/>
            <w:jc w:val="right"/>
          </w:pPr>
        </w:p>
      </w:tc>
    </w:tr>
  </w:tbl>
  <w:p w14:paraId="439958CF" w14:textId="77777777" w:rsidR="00C72410" w:rsidRDefault="00C72410" w:rsidP="00CE4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4330" w14:textId="77777777" w:rsidR="00C72410" w:rsidRDefault="00C72410" w:rsidP="007756D6">
    <w:pPr>
      <w:tabs>
        <w:tab w:val="center" w:pos="5244"/>
        <w:tab w:val="right" w:pos="10489"/>
      </w:tabs>
    </w:pPr>
    <w:r>
      <w:rPr>
        <w:noProof/>
        <w:sz w:val="3276"/>
        <w:szCs w:val="3276"/>
      </w:rPr>
      <w:drawing>
        <wp:anchor distT="0" distB="0" distL="114300" distR="114300" simplePos="0" relativeHeight="251661312" behindDoc="0" locked="0" layoutInCell="1" allowOverlap="1" wp14:anchorId="1C751367" wp14:editId="07A4C14A">
          <wp:simplePos x="0" y="0"/>
          <wp:positionH relativeFrom="column">
            <wp:posOffset>6015355</wp:posOffset>
          </wp:positionH>
          <wp:positionV relativeFrom="paragraph">
            <wp:posOffset>-258445</wp:posOffset>
          </wp:positionV>
          <wp:extent cx="669290" cy="8407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840740"/>
                  </a:xfrm>
                  <a:prstGeom prst="rect">
                    <a:avLst/>
                  </a:prstGeom>
                  <a:noFill/>
                </pic:spPr>
              </pic:pic>
            </a:graphicData>
          </a:graphic>
          <wp14:sizeRelH relativeFrom="page">
            <wp14:pctWidth>0</wp14:pctWidth>
          </wp14:sizeRelH>
          <wp14:sizeRelV relativeFrom="page">
            <wp14:pctHeight>0</wp14:pctHeight>
          </wp14:sizeRelV>
        </wp:anchor>
      </w:drawing>
    </w:r>
  </w:p>
  <w:p w14:paraId="42323997" w14:textId="5C111561" w:rsidR="00C72410" w:rsidRPr="00464480" w:rsidRDefault="00C72410" w:rsidP="00600593">
    <w:pPr>
      <w:tabs>
        <w:tab w:val="center" w:pos="5103"/>
        <w:tab w:val="right" w:pos="10489"/>
      </w:tabs>
      <w:rPr>
        <w:sz w:val="16"/>
        <w:szCs w:val="16"/>
      </w:rPr>
    </w:pPr>
    <w:r>
      <w:t>Version 1.</w:t>
    </w:r>
    <w:r w:rsidR="00357B71">
      <w:t>7</w:t>
    </w:r>
    <w:r>
      <w:tab/>
    </w:r>
    <w:r w:rsidRPr="00464480">
      <w:rPr>
        <w:sz w:val="16"/>
        <w:szCs w:val="16"/>
      </w:rPr>
      <w:t xml:space="preserve">Created and endorsed: </w:t>
    </w:r>
    <w:r w:rsidR="00CC6337">
      <w:rPr>
        <w:sz w:val="16"/>
        <w:szCs w:val="16"/>
      </w:rPr>
      <w:t>August 2018</w:t>
    </w:r>
  </w:p>
  <w:p w14:paraId="1BD835B1" w14:textId="386103CB" w:rsidR="00C72410" w:rsidRDefault="00C72410" w:rsidP="00600593">
    <w:pPr>
      <w:tabs>
        <w:tab w:val="center" w:pos="5244"/>
        <w:tab w:val="right" w:pos="10489"/>
      </w:tabs>
      <w:jc w:val="center"/>
      <w:rPr>
        <w:sz w:val="16"/>
        <w:szCs w:val="16"/>
      </w:rPr>
    </w:pPr>
    <w:r>
      <w:rPr>
        <w:sz w:val="16"/>
        <w:szCs w:val="16"/>
      </w:rPr>
      <w:t>D</w:t>
    </w:r>
    <w:r w:rsidRPr="00464480">
      <w:rPr>
        <w:sz w:val="16"/>
        <w:szCs w:val="16"/>
      </w:rPr>
      <w:t>ate</w:t>
    </w:r>
    <w:r>
      <w:rPr>
        <w:sz w:val="16"/>
        <w:szCs w:val="16"/>
      </w:rPr>
      <w:t xml:space="preserve"> reviewed</w:t>
    </w:r>
    <w:r w:rsidRPr="00464480">
      <w:rPr>
        <w:sz w:val="16"/>
        <w:szCs w:val="16"/>
      </w:rPr>
      <w:t xml:space="preserve">: </w:t>
    </w:r>
    <w:r w:rsidR="00CC6337">
      <w:rPr>
        <w:sz w:val="16"/>
        <w:szCs w:val="16"/>
      </w:rPr>
      <w:t>December</w:t>
    </w:r>
    <w:r>
      <w:rPr>
        <w:sz w:val="16"/>
        <w:szCs w:val="16"/>
      </w:rPr>
      <w:t xml:space="preserve"> 2019</w:t>
    </w:r>
  </w:p>
  <w:p w14:paraId="7CDB41AF" w14:textId="13C4A015" w:rsidR="00564993" w:rsidRDefault="00564993" w:rsidP="00600593">
    <w:pPr>
      <w:tabs>
        <w:tab w:val="center" w:pos="5244"/>
        <w:tab w:val="right" w:pos="10489"/>
      </w:tabs>
      <w:jc w:val="center"/>
    </w:pPr>
    <w:r>
      <w:rPr>
        <w:sz w:val="16"/>
        <w:szCs w:val="16"/>
      </w:rPr>
      <w:t xml:space="preserve">Last update: </w:t>
    </w:r>
    <w:r w:rsidR="00357B71">
      <w:rPr>
        <w:sz w:val="16"/>
        <w:szCs w:val="16"/>
      </w:rPr>
      <w:t>November 2023</w:t>
    </w:r>
  </w:p>
  <w:p w14:paraId="539780E2" w14:textId="77777777" w:rsidR="00C72410" w:rsidRDefault="00C72410">
    <w:pPr>
      <w:pStyle w:val="Footer"/>
    </w:pPr>
  </w:p>
  <w:p w14:paraId="76384A4C" w14:textId="77777777" w:rsidR="00C72410" w:rsidRDefault="00C72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52F6F" w14:textId="77777777" w:rsidR="00684380" w:rsidRDefault="00684380" w:rsidP="00723663">
      <w:r>
        <w:separator/>
      </w:r>
    </w:p>
  </w:footnote>
  <w:footnote w:type="continuationSeparator" w:id="0">
    <w:p w14:paraId="258744C1" w14:textId="77777777" w:rsidR="00684380" w:rsidRDefault="00684380" w:rsidP="0072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93AC" w14:textId="77777777" w:rsidR="00C72410" w:rsidRDefault="00C72410" w:rsidP="00C5799F">
    <w:pPr>
      <w:pStyle w:val="Header"/>
    </w:pPr>
    <w:r w:rsidRPr="009E20E4">
      <w:rPr>
        <w:noProof/>
        <w:sz w:val="20"/>
      </w:rPr>
      <w:drawing>
        <wp:anchor distT="0" distB="0" distL="114300" distR="114300" simplePos="0" relativeHeight="251659264" behindDoc="1" locked="0" layoutInCell="1" allowOverlap="1" wp14:anchorId="20A93CDC" wp14:editId="179078C0">
          <wp:simplePos x="0" y="0"/>
          <wp:positionH relativeFrom="column">
            <wp:posOffset>-535305</wp:posOffset>
          </wp:positionH>
          <wp:positionV relativeFrom="paragraph">
            <wp:posOffset>-360045</wp:posOffset>
          </wp:positionV>
          <wp:extent cx="7668260" cy="1201420"/>
          <wp:effectExtent l="0" t="0" r="0" b="0"/>
          <wp:wrapNone/>
          <wp:docPr id="8" name="Picture 8" descr="A4 Wor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 Word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EBB"/>
    <w:multiLevelType w:val="hybridMultilevel"/>
    <w:tmpl w:val="5FB63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916CD2"/>
    <w:multiLevelType w:val="multilevel"/>
    <w:tmpl w:val="FD426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632E4D1C"/>
    <w:styleLink w:val="ListAppendix"/>
    <w:lvl w:ilvl="0">
      <w:start w:val="1"/>
      <w:numFmt w:val="upperLetter"/>
      <w:pStyle w:val="AppendixH1"/>
      <w:lvlText w:val="Appendix %1"/>
      <w:lvlJc w:val="left"/>
      <w:pPr>
        <w:tabs>
          <w:tab w:val="num" w:pos="2268"/>
        </w:tabs>
        <w:ind w:left="2268" w:hanging="2268"/>
      </w:pPr>
      <w:rPr>
        <w:rFonts w:hint="default"/>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0EE0FF9"/>
    <w:multiLevelType w:val="hybridMultilevel"/>
    <w:tmpl w:val="FE408ED6"/>
    <w:lvl w:ilvl="0" w:tplc="28188F3E">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pPr>
      <w:rPr>
        <w:rFonts w:cs="Times New Roman" w:hint="default"/>
        <w:b/>
        <w:i w:val="0"/>
        <w:color w:val="auto"/>
        <w:sz w:val="20"/>
      </w:rPr>
    </w:lvl>
    <w:lvl w:ilvl="4">
      <w:start w:val="1"/>
      <w:numFmt w:val="none"/>
      <w:lvlRestart w:val="0"/>
      <w:lvlText w:val=""/>
      <w:lvlJc w:val="left"/>
      <w:pPr>
        <w:tabs>
          <w:tab w:val="num" w:pos="-31680"/>
        </w:tabs>
      </w:pPr>
      <w:rPr>
        <w:rFonts w:cs="Times New Roman" w:hint="default"/>
        <w:b/>
        <w:i w:val="0"/>
      </w:rPr>
    </w:lvl>
    <w:lvl w:ilvl="5">
      <w:start w:val="1"/>
      <w:numFmt w:val="none"/>
      <w:lvlRestart w:val="0"/>
      <w:lvlText w:val=""/>
      <w:lvlJc w:val="left"/>
      <w:pPr>
        <w:tabs>
          <w:tab w:val="num" w:pos="-31680"/>
        </w:tabs>
        <w:ind w:left="567" w:hanging="567"/>
      </w:pPr>
      <w:rPr>
        <w:rFonts w:cs="Times New Roman" w:hint="default"/>
        <w:color w:val="auto"/>
      </w:rPr>
    </w:lvl>
    <w:lvl w:ilvl="6">
      <w:start w:val="1"/>
      <w:numFmt w:val="none"/>
      <w:lvlText w:val=""/>
      <w:lvlJc w:val="left"/>
      <w:pPr>
        <w:tabs>
          <w:tab w:val="num" w:pos="-31680"/>
        </w:tabs>
      </w:pPr>
      <w:rPr>
        <w:rFonts w:cs="Times New Roman" w:hint="default"/>
        <w:color w:val="auto"/>
        <w:sz w:val="22"/>
        <w:szCs w:val="22"/>
      </w:rPr>
    </w:lvl>
    <w:lvl w:ilvl="7">
      <w:start w:val="1"/>
      <w:numFmt w:val="none"/>
      <w:lvlRestart w:val="0"/>
      <w:lvlText w:val=""/>
      <w:lvlJc w:val="left"/>
      <w:pPr>
        <w:tabs>
          <w:tab w:val="num" w:pos="-31680"/>
        </w:tabs>
      </w:pPr>
      <w:rPr>
        <w:rFonts w:cs="Times New Roman" w:hint="default"/>
        <w:b w:val="0"/>
        <w:i w:val="0"/>
        <w:color w:val="auto"/>
        <w:sz w:val="16"/>
        <w:szCs w:val="16"/>
      </w:rPr>
    </w:lvl>
    <w:lvl w:ilvl="8">
      <w:start w:val="1"/>
      <w:numFmt w:val="none"/>
      <w:lvlText w:val=""/>
      <w:lvlJc w:val="left"/>
      <w:pPr>
        <w:tabs>
          <w:tab w:val="num" w:pos="-31680"/>
        </w:tabs>
      </w:pPr>
      <w:rPr>
        <w:rFonts w:cs="Times New Roman" w:hint="default"/>
        <w:color w:val="auto"/>
        <w:sz w:val="26"/>
      </w:rPr>
    </w:lvl>
  </w:abstractNum>
  <w:abstractNum w:abstractNumId="11" w15:restartNumberingAfterBreak="0">
    <w:nsid w:val="36E41331"/>
    <w:multiLevelType w:val="hybridMultilevel"/>
    <w:tmpl w:val="557CDA46"/>
    <w:lvl w:ilvl="0" w:tplc="E9727D70">
      <w:start w:val="1"/>
      <w:numFmt w:val="bullet"/>
      <w:lvlText w:val=""/>
      <w:lvlJc w:val="left"/>
      <w:pPr>
        <w:ind w:left="720" w:hanging="360"/>
      </w:pPr>
      <w:rPr>
        <w:rFonts w:ascii="Wingdings" w:hAnsi="Wingdings" w:hint="default"/>
        <w:color w:val="auto"/>
        <w:sz w:val="16"/>
      </w:rPr>
    </w:lvl>
    <w:lvl w:ilvl="1" w:tplc="525E6452">
      <w:numFmt w:val="bullet"/>
      <w:lvlText w:val=""/>
      <w:lvlJc w:val="left"/>
      <w:pPr>
        <w:ind w:left="1440" w:hanging="360"/>
      </w:pPr>
      <w:rPr>
        <w:rFonts w:ascii="Symbol" w:eastAsia="Times New Roman" w:hAnsi="Symbol"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E2D137C"/>
    <w:multiLevelType w:val="hybridMultilevel"/>
    <w:tmpl w:val="463AA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Arial" w:hAnsi="Arial" w:hint="default"/>
        <w:color w:val="00A1DE"/>
      </w:rPr>
    </w:lvl>
    <w:lvl w:ilvl="1">
      <w:start w:val="1"/>
      <w:numFmt w:val="decimal"/>
      <w:lvlText w:val="%1.%2"/>
      <w:lvlJc w:val="left"/>
      <w:pPr>
        <w:tabs>
          <w:tab w:val="num" w:pos="1134"/>
        </w:tabs>
        <w:ind w:left="1134" w:hanging="1134"/>
      </w:pPr>
      <w:rPr>
        <w:rFonts w:ascii="Gotham Light" w:hAnsi="Gotham Light" w:hint="default"/>
        <w:color w:val="B6BF00"/>
      </w:rPr>
    </w:lvl>
    <w:lvl w:ilvl="2">
      <w:start w:val="1"/>
      <w:numFmt w:val="decimal"/>
      <w:lvlText w:val="%1.%2.%3"/>
      <w:lvlJc w:val="left"/>
      <w:pPr>
        <w:tabs>
          <w:tab w:val="num" w:pos="1134"/>
        </w:tabs>
        <w:ind w:left="1134" w:hanging="1134"/>
      </w:pPr>
      <w:rPr>
        <w:rFonts w:ascii="Arial" w:hAnsi="Arial" w:hint="default"/>
        <w:color w:val="003591"/>
      </w:rPr>
    </w:lvl>
    <w:lvl w:ilvl="3">
      <w:start w:val="1"/>
      <w:numFmt w:val="decimal"/>
      <w:lvlText w:val="%1.%2.%3.%4"/>
      <w:lvlJc w:val="left"/>
      <w:pPr>
        <w:tabs>
          <w:tab w:val="num" w:pos="1134"/>
        </w:tabs>
        <w:ind w:left="1134" w:hanging="1134"/>
      </w:pPr>
      <w:rPr>
        <w:rFonts w:ascii="Arial" w:hAnsi="Arial" w:hint="default"/>
        <w:color w:val="auto"/>
        <w:sz w:val="18"/>
      </w:rPr>
    </w:lvl>
    <w:lvl w:ilvl="4">
      <w:start w:val="1"/>
      <w:numFmt w:val="decimal"/>
      <w:lvlText w:val="%1.%2.%3.%4.%5"/>
      <w:lvlJc w:val="left"/>
      <w:pPr>
        <w:tabs>
          <w:tab w:val="num" w:pos="1134"/>
        </w:tabs>
        <w:ind w:left="1134" w:hanging="1134"/>
      </w:pPr>
      <w:rPr>
        <w:rFonts w:ascii="Arial" w:hAnsi="Arial" w:hint="default"/>
        <w:color w:val="00A1DE"/>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50424335"/>
    <w:multiLevelType w:val="hybridMultilevel"/>
    <w:tmpl w:val="CC5A4392"/>
    <w:lvl w:ilvl="0" w:tplc="E684F940">
      <w:numFmt w:val="bullet"/>
      <w:lvlText w:val="-"/>
      <w:lvlJc w:val="left"/>
      <w:pPr>
        <w:ind w:left="567" w:hanging="360"/>
      </w:pPr>
      <w:rPr>
        <w:rFonts w:ascii="Arial" w:eastAsia="Arial" w:hAnsi="Arial" w:cs="Arial"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16" w15:restartNumberingAfterBreak="0">
    <w:nsid w:val="52AA0A7D"/>
    <w:multiLevelType w:val="multilevel"/>
    <w:tmpl w:val="E9B44B6A"/>
    <w:numStyleLink w:val="ListParagraph"/>
  </w:abstractNum>
  <w:abstractNum w:abstractNumId="17"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8" w15:restartNumberingAfterBreak="0">
    <w:nsid w:val="78CB6006"/>
    <w:multiLevelType w:val="hybridMultilevel"/>
    <w:tmpl w:val="B3F8A896"/>
    <w:lvl w:ilvl="0" w:tplc="028E7A4A">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615404675">
    <w:abstractNumId w:val="17"/>
  </w:num>
  <w:num w:numId="2" w16cid:durableId="602152375">
    <w:abstractNumId w:val="5"/>
  </w:num>
  <w:num w:numId="3" w16cid:durableId="413281896">
    <w:abstractNumId w:val="12"/>
  </w:num>
  <w:num w:numId="4" w16cid:durableId="77138179">
    <w:abstractNumId w:val="4"/>
  </w:num>
  <w:num w:numId="5" w16cid:durableId="1940795466">
    <w:abstractNumId w:val="16"/>
  </w:num>
  <w:num w:numId="6" w16cid:durableId="1144154764">
    <w:abstractNumId w:val="6"/>
  </w:num>
  <w:num w:numId="7" w16cid:durableId="1033383209">
    <w:abstractNumId w:val="8"/>
  </w:num>
  <w:num w:numId="8" w16cid:durableId="1705056139">
    <w:abstractNumId w:val="9"/>
  </w:num>
  <w:num w:numId="9" w16cid:durableId="179584556">
    <w:abstractNumId w:val="3"/>
  </w:num>
  <w:num w:numId="10" w16cid:durableId="556740070">
    <w:abstractNumId w:val="14"/>
  </w:num>
  <w:num w:numId="11" w16cid:durableId="1342047278">
    <w:abstractNumId w:val="2"/>
  </w:num>
  <w:num w:numId="12" w16cid:durableId="1387529061">
    <w:abstractNumId w:val="13"/>
  </w:num>
  <w:num w:numId="13" w16cid:durableId="399056677">
    <w:abstractNumId w:val="18"/>
  </w:num>
  <w:num w:numId="14" w16cid:durableId="870800370">
    <w:abstractNumId w:val="0"/>
  </w:num>
  <w:num w:numId="15" w16cid:durableId="1831487019">
    <w:abstractNumId w:val="11"/>
  </w:num>
  <w:num w:numId="16" w16cid:durableId="71707367">
    <w:abstractNumId w:val="7"/>
  </w:num>
  <w:num w:numId="17" w16cid:durableId="209340716">
    <w:abstractNumId w:val="10"/>
  </w:num>
  <w:num w:numId="18" w16cid:durableId="1749696072">
    <w:abstractNumId w:val="15"/>
  </w:num>
  <w:num w:numId="19" w16cid:durableId="5278174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4E"/>
    <w:rsid w:val="00005250"/>
    <w:rsid w:val="000142B2"/>
    <w:rsid w:val="00020359"/>
    <w:rsid w:val="00026381"/>
    <w:rsid w:val="00026DE9"/>
    <w:rsid w:val="000527BA"/>
    <w:rsid w:val="000638C5"/>
    <w:rsid w:val="00064165"/>
    <w:rsid w:val="000A2AB5"/>
    <w:rsid w:val="000A7694"/>
    <w:rsid w:val="000B5F0A"/>
    <w:rsid w:val="000D29BE"/>
    <w:rsid w:val="000D65EE"/>
    <w:rsid w:val="000E093D"/>
    <w:rsid w:val="000E3B79"/>
    <w:rsid w:val="000E4B69"/>
    <w:rsid w:val="000E62EF"/>
    <w:rsid w:val="00116B2A"/>
    <w:rsid w:val="001215B8"/>
    <w:rsid w:val="00127C38"/>
    <w:rsid w:val="001364FD"/>
    <w:rsid w:val="00137E83"/>
    <w:rsid w:val="00142153"/>
    <w:rsid w:val="001479BA"/>
    <w:rsid w:val="00154509"/>
    <w:rsid w:val="001555A9"/>
    <w:rsid w:val="00155828"/>
    <w:rsid w:val="001669FD"/>
    <w:rsid w:val="00174E88"/>
    <w:rsid w:val="00190411"/>
    <w:rsid w:val="001927F8"/>
    <w:rsid w:val="001C7BD5"/>
    <w:rsid w:val="001D33E7"/>
    <w:rsid w:val="001E544B"/>
    <w:rsid w:val="001E6C20"/>
    <w:rsid w:val="00215B18"/>
    <w:rsid w:val="00232628"/>
    <w:rsid w:val="00233FC9"/>
    <w:rsid w:val="00272E2D"/>
    <w:rsid w:val="002A3907"/>
    <w:rsid w:val="002C5078"/>
    <w:rsid w:val="002D3993"/>
    <w:rsid w:val="002D74AA"/>
    <w:rsid w:val="002E044E"/>
    <w:rsid w:val="002F440D"/>
    <w:rsid w:val="003049E6"/>
    <w:rsid w:val="00306E07"/>
    <w:rsid w:val="003101C7"/>
    <w:rsid w:val="0031672F"/>
    <w:rsid w:val="00316BCD"/>
    <w:rsid w:val="0034256E"/>
    <w:rsid w:val="00345686"/>
    <w:rsid w:val="00356E51"/>
    <w:rsid w:val="00357B71"/>
    <w:rsid w:val="0036693A"/>
    <w:rsid w:val="00382B6C"/>
    <w:rsid w:val="00395636"/>
    <w:rsid w:val="003A48BD"/>
    <w:rsid w:val="003B7A3F"/>
    <w:rsid w:val="003D7891"/>
    <w:rsid w:val="003E036A"/>
    <w:rsid w:val="003E3532"/>
    <w:rsid w:val="003F789E"/>
    <w:rsid w:val="004017F0"/>
    <w:rsid w:val="00410948"/>
    <w:rsid w:val="00422648"/>
    <w:rsid w:val="004358C2"/>
    <w:rsid w:val="00446BFB"/>
    <w:rsid w:val="00451D5B"/>
    <w:rsid w:val="00461D31"/>
    <w:rsid w:val="0047551F"/>
    <w:rsid w:val="00480C65"/>
    <w:rsid w:val="004A7229"/>
    <w:rsid w:val="004B00B7"/>
    <w:rsid w:val="004D0C14"/>
    <w:rsid w:val="004D2377"/>
    <w:rsid w:val="004F547C"/>
    <w:rsid w:val="0050261F"/>
    <w:rsid w:val="0050629E"/>
    <w:rsid w:val="0052610B"/>
    <w:rsid w:val="00552B85"/>
    <w:rsid w:val="00564993"/>
    <w:rsid w:val="00567DCF"/>
    <w:rsid w:val="005720B9"/>
    <w:rsid w:val="00572D1F"/>
    <w:rsid w:val="005800BE"/>
    <w:rsid w:val="005811D1"/>
    <w:rsid w:val="005971ED"/>
    <w:rsid w:val="005A2FDA"/>
    <w:rsid w:val="005B54F0"/>
    <w:rsid w:val="005B7E6B"/>
    <w:rsid w:val="005C3AA1"/>
    <w:rsid w:val="005C7C74"/>
    <w:rsid w:val="005D0167"/>
    <w:rsid w:val="005D230F"/>
    <w:rsid w:val="005E28C7"/>
    <w:rsid w:val="005E7363"/>
    <w:rsid w:val="006001B8"/>
    <w:rsid w:val="00600593"/>
    <w:rsid w:val="00624C97"/>
    <w:rsid w:val="0062636B"/>
    <w:rsid w:val="0065010A"/>
    <w:rsid w:val="006508BC"/>
    <w:rsid w:val="0066192A"/>
    <w:rsid w:val="0066311F"/>
    <w:rsid w:val="00684380"/>
    <w:rsid w:val="00687C02"/>
    <w:rsid w:val="006A1683"/>
    <w:rsid w:val="006B3962"/>
    <w:rsid w:val="006C0E44"/>
    <w:rsid w:val="006C4FCD"/>
    <w:rsid w:val="006D5405"/>
    <w:rsid w:val="006D7642"/>
    <w:rsid w:val="006F2DBF"/>
    <w:rsid w:val="00723663"/>
    <w:rsid w:val="0073495D"/>
    <w:rsid w:val="00734F5E"/>
    <w:rsid w:val="007405A4"/>
    <w:rsid w:val="00741209"/>
    <w:rsid w:val="00757F57"/>
    <w:rsid w:val="007756D6"/>
    <w:rsid w:val="00787153"/>
    <w:rsid w:val="007B215D"/>
    <w:rsid w:val="007B21CD"/>
    <w:rsid w:val="007B4146"/>
    <w:rsid w:val="007C38B8"/>
    <w:rsid w:val="008011C6"/>
    <w:rsid w:val="00810D79"/>
    <w:rsid w:val="00834296"/>
    <w:rsid w:val="0083684A"/>
    <w:rsid w:val="00837916"/>
    <w:rsid w:val="00844CD8"/>
    <w:rsid w:val="00862690"/>
    <w:rsid w:val="008832DD"/>
    <w:rsid w:val="008836DE"/>
    <w:rsid w:val="00890B9B"/>
    <w:rsid w:val="00891B5F"/>
    <w:rsid w:val="008A5EF4"/>
    <w:rsid w:val="008C110A"/>
    <w:rsid w:val="008C1FE7"/>
    <w:rsid w:val="008D50BA"/>
    <w:rsid w:val="008E2C24"/>
    <w:rsid w:val="008E473D"/>
    <w:rsid w:val="00903AF7"/>
    <w:rsid w:val="0091290E"/>
    <w:rsid w:val="009229E8"/>
    <w:rsid w:val="00935303"/>
    <w:rsid w:val="00937746"/>
    <w:rsid w:val="00950590"/>
    <w:rsid w:val="00953967"/>
    <w:rsid w:val="0096154E"/>
    <w:rsid w:val="00962672"/>
    <w:rsid w:val="00966307"/>
    <w:rsid w:val="00971B14"/>
    <w:rsid w:val="00977A85"/>
    <w:rsid w:val="0098071F"/>
    <w:rsid w:val="00981D5D"/>
    <w:rsid w:val="009A606B"/>
    <w:rsid w:val="009E20E4"/>
    <w:rsid w:val="009E2F07"/>
    <w:rsid w:val="009E376F"/>
    <w:rsid w:val="009F2D93"/>
    <w:rsid w:val="009F3881"/>
    <w:rsid w:val="00A11238"/>
    <w:rsid w:val="00A15423"/>
    <w:rsid w:val="00A27DFC"/>
    <w:rsid w:val="00A33F0F"/>
    <w:rsid w:val="00A34437"/>
    <w:rsid w:val="00A50716"/>
    <w:rsid w:val="00A5116C"/>
    <w:rsid w:val="00A55A6B"/>
    <w:rsid w:val="00A62D3C"/>
    <w:rsid w:val="00A7453C"/>
    <w:rsid w:val="00A90F2C"/>
    <w:rsid w:val="00AA6F31"/>
    <w:rsid w:val="00AA74A3"/>
    <w:rsid w:val="00AA751D"/>
    <w:rsid w:val="00AB2F2E"/>
    <w:rsid w:val="00AD0F7D"/>
    <w:rsid w:val="00AD4AF0"/>
    <w:rsid w:val="00AF1FD1"/>
    <w:rsid w:val="00B025B0"/>
    <w:rsid w:val="00B119B0"/>
    <w:rsid w:val="00B23013"/>
    <w:rsid w:val="00B25DA6"/>
    <w:rsid w:val="00B30147"/>
    <w:rsid w:val="00B35C6A"/>
    <w:rsid w:val="00B479C1"/>
    <w:rsid w:val="00B5088D"/>
    <w:rsid w:val="00B531DD"/>
    <w:rsid w:val="00B7182D"/>
    <w:rsid w:val="00B730F5"/>
    <w:rsid w:val="00B742E4"/>
    <w:rsid w:val="00BC610A"/>
    <w:rsid w:val="00BD33D2"/>
    <w:rsid w:val="00BE5724"/>
    <w:rsid w:val="00BF703B"/>
    <w:rsid w:val="00C01916"/>
    <w:rsid w:val="00C15284"/>
    <w:rsid w:val="00C24C5B"/>
    <w:rsid w:val="00C260CC"/>
    <w:rsid w:val="00C41B4E"/>
    <w:rsid w:val="00C4439F"/>
    <w:rsid w:val="00C525BA"/>
    <w:rsid w:val="00C5799F"/>
    <w:rsid w:val="00C61651"/>
    <w:rsid w:val="00C63B87"/>
    <w:rsid w:val="00C72410"/>
    <w:rsid w:val="00C73FBE"/>
    <w:rsid w:val="00CB3AC9"/>
    <w:rsid w:val="00CC047A"/>
    <w:rsid w:val="00CC2808"/>
    <w:rsid w:val="00CC4416"/>
    <w:rsid w:val="00CC6337"/>
    <w:rsid w:val="00CE4778"/>
    <w:rsid w:val="00D04923"/>
    <w:rsid w:val="00D35ACC"/>
    <w:rsid w:val="00D35D74"/>
    <w:rsid w:val="00D37334"/>
    <w:rsid w:val="00D42086"/>
    <w:rsid w:val="00D43E03"/>
    <w:rsid w:val="00D70647"/>
    <w:rsid w:val="00D707E5"/>
    <w:rsid w:val="00D81532"/>
    <w:rsid w:val="00D82BCA"/>
    <w:rsid w:val="00D85B45"/>
    <w:rsid w:val="00D9169D"/>
    <w:rsid w:val="00D95EE2"/>
    <w:rsid w:val="00DB0DD8"/>
    <w:rsid w:val="00DB59D9"/>
    <w:rsid w:val="00DB600E"/>
    <w:rsid w:val="00DC7A8E"/>
    <w:rsid w:val="00DD4430"/>
    <w:rsid w:val="00DD70F0"/>
    <w:rsid w:val="00DE1DCD"/>
    <w:rsid w:val="00E235FD"/>
    <w:rsid w:val="00E53F75"/>
    <w:rsid w:val="00E71231"/>
    <w:rsid w:val="00E87A8D"/>
    <w:rsid w:val="00E914DC"/>
    <w:rsid w:val="00EB3276"/>
    <w:rsid w:val="00EE47F8"/>
    <w:rsid w:val="00F00E67"/>
    <w:rsid w:val="00F07AF9"/>
    <w:rsid w:val="00F118C3"/>
    <w:rsid w:val="00F13EBF"/>
    <w:rsid w:val="00F55C3D"/>
    <w:rsid w:val="00F62FCC"/>
    <w:rsid w:val="00F632E6"/>
    <w:rsid w:val="00F647CE"/>
    <w:rsid w:val="00F64E68"/>
    <w:rsid w:val="00F662AF"/>
    <w:rsid w:val="00F76B3C"/>
    <w:rsid w:val="00F77B65"/>
    <w:rsid w:val="00F904D9"/>
    <w:rsid w:val="00FB1630"/>
    <w:rsid w:val="00FB7B3F"/>
    <w:rsid w:val="00FC0BC3"/>
    <w:rsid w:val="00FC7037"/>
    <w:rsid w:val="00FD1621"/>
    <w:rsid w:val="00FD754F"/>
    <w:rsid w:val="00FF09A2"/>
    <w:rsid w:val="00FF0A61"/>
    <w:rsid w:val="00FF5D1A"/>
    <w:rsid w:val="00FF7C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2"/>
    </o:shapelayout>
  </w:shapeDefaults>
  <w:decimalSymbol w:val="."/>
  <w:listSeparator w:val=","/>
  <w14:docId w14:val="245EF79D"/>
  <w15:docId w15:val="{5401185F-29DB-4BEE-A66A-FA3EA1AC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67"/>
    <w:rPr>
      <w:szCs w:val="22"/>
      <w:lang w:eastAsia="en-US"/>
    </w:rPr>
  </w:style>
  <w:style w:type="paragraph" w:styleId="Heading1">
    <w:name w:val="heading 1"/>
    <w:basedOn w:val="Normal"/>
    <w:next w:val="BodyText"/>
    <w:link w:val="Heading1Char"/>
    <w:uiPriority w:val="1"/>
    <w:qFormat/>
    <w:rsid w:val="00345686"/>
    <w:pPr>
      <w:keepNext/>
      <w:keepLines/>
      <w:spacing w:before="480" w:after="240"/>
      <w:outlineLvl w:val="0"/>
    </w:pPr>
    <w:rPr>
      <w:rFonts w:eastAsia="Times New Roman"/>
      <w:b/>
      <w:color w:val="003491"/>
      <w:sz w:val="52"/>
      <w:szCs w:val="32"/>
      <w:lang w:val="en-US"/>
    </w:rPr>
  </w:style>
  <w:style w:type="paragraph" w:styleId="Heading2">
    <w:name w:val="heading 2"/>
    <w:basedOn w:val="Normal"/>
    <w:next w:val="BodyText"/>
    <w:link w:val="Heading2Char"/>
    <w:uiPriority w:val="1"/>
    <w:qFormat/>
    <w:rsid w:val="000142B2"/>
    <w:pPr>
      <w:keepNext/>
      <w:keepLines/>
      <w:spacing w:before="240" w:after="120"/>
      <w:outlineLvl w:val="1"/>
    </w:pPr>
    <w:rPr>
      <w:rFonts w:eastAsia="Times New Roman"/>
      <w:b/>
      <w:color w:val="003491"/>
      <w:sz w:val="40"/>
      <w:szCs w:val="26"/>
    </w:rPr>
  </w:style>
  <w:style w:type="paragraph" w:styleId="Heading3">
    <w:name w:val="heading 3"/>
    <w:basedOn w:val="Normal"/>
    <w:next w:val="BodyText"/>
    <w:link w:val="Heading3Char"/>
    <w:uiPriority w:val="1"/>
    <w:qFormat/>
    <w:rsid w:val="00345686"/>
    <w:pPr>
      <w:keepNext/>
      <w:keepLines/>
      <w:spacing w:before="240" w:after="120"/>
      <w:outlineLvl w:val="2"/>
    </w:pPr>
    <w:rPr>
      <w:rFonts w:eastAsia="Times New Roman"/>
      <w:b/>
      <w:color w:val="00A1DE"/>
      <w:sz w:val="28"/>
      <w:szCs w:val="24"/>
    </w:rPr>
  </w:style>
  <w:style w:type="paragraph" w:styleId="Heading4">
    <w:name w:val="heading 4"/>
    <w:basedOn w:val="Normal"/>
    <w:next w:val="BodyText"/>
    <w:link w:val="Heading4Char"/>
    <w:uiPriority w:val="1"/>
    <w:qFormat/>
    <w:rsid w:val="005E7363"/>
    <w:pPr>
      <w:keepNext/>
      <w:keepLines/>
      <w:spacing w:before="240" w:after="120"/>
      <w:outlineLvl w:val="3"/>
    </w:pPr>
    <w:rPr>
      <w:rFonts w:eastAsia="Times New Roman"/>
      <w:b/>
      <w:iCs/>
    </w:rPr>
  </w:style>
  <w:style w:type="paragraph" w:styleId="Heading5">
    <w:name w:val="heading 5"/>
    <w:basedOn w:val="Normal"/>
    <w:next w:val="BodyText"/>
    <w:link w:val="Heading5Char"/>
    <w:uiPriority w:val="1"/>
    <w:qFormat/>
    <w:rsid w:val="005E7363"/>
    <w:pPr>
      <w:keepNext/>
      <w:keepLines/>
      <w:spacing w:before="240" w:after="12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numPr>
        <w:numId w:val="5"/>
      </w:numPr>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link w:val="Heading1"/>
    <w:uiPriority w:val="1"/>
    <w:rsid w:val="00345686"/>
    <w:rPr>
      <w:rFonts w:ascii="Arial" w:eastAsia="Times New Roman" w:hAnsi="Arial" w:cs="Times New Roman"/>
      <w:b/>
      <w:color w:val="003491"/>
      <w:sz w:val="52"/>
      <w:szCs w:val="32"/>
      <w:lang w:val="en-US"/>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link w:val="Heading2"/>
    <w:uiPriority w:val="1"/>
    <w:rsid w:val="000142B2"/>
    <w:rPr>
      <w:rFonts w:ascii="Arial" w:eastAsia="Times New Roman" w:hAnsi="Arial" w:cs="Times New Roman"/>
      <w:b/>
      <w:color w:val="003491"/>
      <w:sz w:val="40"/>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link w:val="Heading3"/>
    <w:uiPriority w:val="1"/>
    <w:rsid w:val="00345686"/>
    <w:rPr>
      <w:rFonts w:ascii="Arial" w:eastAsia="Times New Roman" w:hAnsi="Arial" w:cs="Times New Roman"/>
      <w:b/>
      <w:color w:val="00A1DE"/>
      <w:sz w:val="28"/>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link w:val="Heading4"/>
    <w:uiPriority w:val="1"/>
    <w:rsid w:val="005E7363"/>
    <w:rPr>
      <w:rFonts w:ascii="Arial" w:eastAsia="Times New Roman" w:hAnsi="Arial" w:cs="Times New Roman"/>
      <w:b/>
      <w:iCs/>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link w:val="Heading5"/>
    <w:uiPriority w:val="1"/>
    <w:rsid w:val="005E7363"/>
    <w:rPr>
      <w:rFonts w:ascii="Arial" w:eastAsia="Times New Roman" w:hAnsi="Arial" w:cs="Times New Roman"/>
      <w:i/>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6"/>
    <w:qFormat/>
    <w:rsid w:val="00B742E4"/>
    <w:pPr>
      <w:keepNext/>
      <w:tabs>
        <w:tab w:val="left" w:pos="1134"/>
      </w:tabs>
      <w:spacing w:before="240" w:line="240" w:lineRule="auto"/>
      <w:ind w:left="1134" w:hanging="1134"/>
    </w:pPr>
    <w:rPr>
      <w:b/>
    </w:rPr>
  </w:style>
  <w:style w:type="character" w:styleId="PlaceholderText">
    <w:name w:val="Placeholder Text"/>
    <w:uiPriority w:val="99"/>
    <w:semiHidden/>
    <w:rsid w:val="00834296"/>
    <w:rPr>
      <w:color w:val="808080"/>
    </w:rPr>
  </w:style>
  <w:style w:type="paragraph" w:styleId="BodyText">
    <w:name w:val="Body Text"/>
    <w:basedOn w:val="Normal"/>
    <w:link w:val="BodyTextChar"/>
    <w:qFormat/>
    <w:rsid w:val="00345686"/>
    <w:pPr>
      <w:spacing w:before="120" w:after="120" w:line="252" w:lineRule="auto"/>
    </w:pPr>
    <w:rPr>
      <w:color w:val="000000"/>
    </w:rPr>
  </w:style>
  <w:style w:type="character" w:customStyle="1" w:styleId="BodyTextChar">
    <w:name w:val="Body Text Char"/>
    <w:link w:val="BodyText"/>
    <w:rsid w:val="00345686"/>
    <w:rPr>
      <w:color w:val="000000"/>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tabs>
        <w:tab w:val="clear" w:pos="2550"/>
        <w:tab w:val="num" w:pos="360"/>
      </w:tabs>
      <w:ind w:left="425"/>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qFormat/>
    <w:rsid w:val="00C5799F"/>
    <w:pPr>
      <w:spacing w:before="360" w:after="360"/>
    </w:pPr>
    <w:rPr>
      <w:rFonts w:eastAsia="Times New Roman"/>
      <w:b/>
      <w:color w:val="003491"/>
      <w:spacing w:val="-10"/>
      <w:kern w:val="28"/>
      <w:sz w:val="64"/>
      <w:szCs w:val="56"/>
    </w:rPr>
  </w:style>
  <w:style w:type="character" w:customStyle="1" w:styleId="TitleChar">
    <w:name w:val="Title Char"/>
    <w:link w:val="Title"/>
    <w:uiPriority w:val="10"/>
    <w:rsid w:val="00C5799F"/>
    <w:rPr>
      <w:rFonts w:ascii="Arial" w:eastAsia="Times New Roman" w:hAnsi="Arial" w:cs="Times New Roman"/>
      <w:b/>
      <w:color w:val="003491"/>
      <w:spacing w:val="-10"/>
      <w:kern w:val="28"/>
      <w:sz w:val="64"/>
      <w:szCs w:val="56"/>
    </w:rPr>
  </w:style>
  <w:style w:type="paragraph" w:styleId="Subtitle">
    <w:name w:val="Subtitle"/>
    <w:basedOn w:val="Normal"/>
    <w:next w:val="BodyText"/>
    <w:link w:val="SubtitleChar"/>
    <w:uiPriority w:val="11"/>
    <w:qFormat/>
    <w:rsid w:val="00C5799F"/>
    <w:pPr>
      <w:numPr>
        <w:ilvl w:val="1"/>
      </w:numPr>
      <w:spacing w:before="360" w:after="360"/>
    </w:pPr>
    <w:rPr>
      <w:rFonts w:eastAsia="Times New Roman"/>
      <w:color w:val="00A1DE"/>
      <w:spacing w:val="15"/>
      <w:sz w:val="40"/>
    </w:rPr>
  </w:style>
  <w:style w:type="character" w:customStyle="1" w:styleId="SubtitleChar">
    <w:name w:val="Subtitle Char"/>
    <w:link w:val="Subtitle"/>
    <w:uiPriority w:val="11"/>
    <w:rsid w:val="00C5799F"/>
    <w:rPr>
      <w:rFonts w:eastAsia="Times New Roman"/>
      <w:color w:val="00A1DE"/>
      <w:spacing w:val="15"/>
      <w:sz w:val="40"/>
    </w:rPr>
  </w:style>
  <w:style w:type="paragraph" w:styleId="TOCHeading">
    <w:name w:val="TOC Heading"/>
    <w:basedOn w:val="Heading1"/>
    <w:next w:val="Normal"/>
    <w:uiPriority w:val="39"/>
    <w:qFormat/>
    <w:rsid w:val="00B742E4"/>
    <w:pPr>
      <w:outlineLvl w:val="9"/>
    </w:pPr>
  </w:style>
  <w:style w:type="paragraph" w:styleId="TOC4">
    <w:name w:val="toc 4"/>
    <w:basedOn w:val="TOC1"/>
    <w:next w:val="Normal"/>
    <w:autoRedefine/>
    <w:uiPriority w:val="39"/>
    <w:rsid w:val="00B742E4"/>
    <w:pPr>
      <w:tabs>
        <w:tab w:val="left" w:pos="851"/>
      </w:tabs>
      <w:spacing w:after="100"/>
    </w:pPr>
  </w:style>
  <w:style w:type="paragraph" w:styleId="TOC5">
    <w:name w:val="toc 5"/>
    <w:basedOn w:val="TOC2"/>
    <w:next w:val="Normal"/>
    <w:autoRedefine/>
    <w:uiPriority w:val="39"/>
    <w:rsid w:val="00B742E4"/>
    <w:pPr>
      <w:tabs>
        <w:tab w:val="left" w:pos="851"/>
      </w:tabs>
      <w:spacing w:after="100"/>
    </w:pPr>
  </w:style>
  <w:style w:type="paragraph" w:styleId="TOC1">
    <w:name w:val="toc 1"/>
    <w:basedOn w:val="Normal"/>
    <w:next w:val="Normal"/>
    <w:autoRedefine/>
    <w:uiPriority w:val="39"/>
    <w:rsid w:val="00B742E4"/>
    <w:pPr>
      <w:tabs>
        <w:tab w:val="right" w:leader="dot" w:pos="9639"/>
      </w:tabs>
      <w:spacing w:before="120" w:after="60"/>
    </w:pPr>
    <w:rPr>
      <w:b/>
    </w:rPr>
  </w:style>
  <w:style w:type="paragraph" w:styleId="TOC6">
    <w:name w:val="toc 6"/>
    <w:basedOn w:val="TOC3"/>
    <w:next w:val="Normal"/>
    <w:autoRedefine/>
    <w:uiPriority w:val="39"/>
    <w:rsid w:val="00FC0BC3"/>
    <w:pPr>
      <w:tabs>
        <w:tab w:val="left" w:pos="851"/>
      </w:tabs>
      <w:spacing w:after="100"/>
    </w:pPr>
  </w:style>
  <w:style w:type="paragraph" w:styleId="Quote">
    <w:name w:val="Quote"/>
    <w:basedOn w:val="BodyText"/>
    <w:next w:val="Normal"/>
    <w:link w:val="QuoteChar"/>
    <w:uiPriority w:val="8"/>
    <w:qFormat/>
    <w:rsid w:val="00A34437"/>
    <w:pPr>
      <w:spacing w:before="240" w:after="240"/>
      <w:ind w:left="567" w:right="567"/>
    </w:pPr>
    <w:rPr>
      <w:i/>
      <w:iCs/>
      <w:color w:val="003591"/>
    </w:rPr>
  </w:style>
  <w:style w:type="paragraph" w:styleId="TOC2">
    <w:name w:val="toc 2"/>
    <w:basedOn w:val="Normal"/>
    <w:next w:val="Normal"/>
    <w:autoRedefine/>
    <w:uiPriority w:val="39"/>
    <w:rsid w:val="00B742E4"/>
    <w:pPr>
      <w:tabs>
        <w:tab w:val="right" w:leader="dot" w:pos="9639"/>
      </w:tabs>
      <w:spacing w:before="60" w:after="60"/>
    </w:pPr>
  </w:style>
  <w:style w:type="paragraph" w:styleId="TOC3">
    <w:name w:val="toc 3"/>
    <w:basedOn w:val="Normal"/>
    <w:next w:val="Normal"/>
    <w:autoRedefine/>
    <w:uiPriority w:val="39"/>
    <w:rsid w:val="00B742E4"/>
    <w:pPr>
      <w:tabs>
        <w:tab w:val="right" w:leader="dot" w:pos="9639"/>
      </w:tabs>
      <w:spacing w:before="20" w:after="20"/>
    </w:pPr>
  </w:style>
  <w:style w:type="character" w:customStyle="1" w:styleId="QuoteChar">
    <w:name w:val="Quote Char"/>
    <w:link w:val="Quote"/>
    <w:uiPriority w:val="8"/>
    <w:rsid w:val="00A34437"/>
    <w:rPr>
      <w:i/>
      <w:iCs/>
      <w:color w:val="003591"/>
    </w:rPr>
  </w:style>
  <w:style w:type="paragraph" w:styleId="Footer">
    <w:name w:val="footer"/>
    <w:basedOn w:val="Normal"/>
    <w:link w:val="FooterChar"/>
    <w:uiPriority w:val="99"/>
    <w:rsid w:val="00CE4778"/>
    <w:pPr>
      <w:tabs>
        <w:tab w:val="center" w:pos="4513"/>
        <w:tab w:val="right" w:pos="9026"/>
      </w:tabs>
    </w:pPr>
    <w:rPr>
      <w:b/>
      <w:color w:val="003591"/>
      <w:sz w:val="16"/>
    </w:rPr>
  </w:style>
  <w:style w:type="character" w:customStyle="1" w:styleId="FooterChar">
    <w:name w:val="Footer Char"/>
    <w:link w:val="Footer"/>
    <w:uiPriority w:val="99"/>
    <w:rsid w:val="00CE4778"/>
    <w:rPr>
      <w:b/>
      <w:color w:val="003591"/>
      <w:sz w:val="16"/>
    </w:rPr>
  </w:style>
  <w:style w:type="paragraph" w:styleId="Header">
    <w:name w:val="header"/>
    <w:basedOn w:val="Normal"/>
    <w:link w:val="HeaderChar"/>
    <w:uiPriority w:val="99"/>
    <w:rsid w:val="00A34437"/>
    <w:pPr>
      <w:tabs>
        <w:tab w:val="center" w:pos="4513"/>
        <w:tab w:val="right" w:pos="9026"/>
      </w:tabs>
    </w:pPr>
    <w:rPr>
      <w:sz w:val="18"/>
    </w:rPr>
  </w:style>
  <w:style w:type="character" w:customStyle="1" w:styleId="HeaderChar">
    <w:name w:val="Header Char"/>
    <w:link w:val="Header"/>
    <w:uiPriority w:val="99"/>
    <w:rsid w:val="00A34437"/>
    <w:rPr>
      <w:sz w:val="18"/>
    </w:rPr>
  </w:style>
  <w:style w:type="table" w:styleId="TableGrid">
    <w:name w:val="Table Grid"/>
    <w:aliases w:val="Table No Border"/>
    <w:basedOn w:val="TableNormal"/>
    <w:uiPriority w:val="39"/>
    <w:rsid w:val="00A34437"/>
    <w:tblPr>
      <w:tblCellMar>
        <w:left w:w="0" w:type="dxa"/>
        <w:right w:w="0" w:type="dxa"/>
      </w:tblCellMar>
    </w:tblPr>
  </w:style>
  <w:style w:type="table" w:customStyle="1" w:styleId="OceanTable">
    <w:name w:val="Ocean Table"/>
    <w:basedOn w:val="TableNormal"/>
    <w:uiPriority w:val="99"/>
    <w:rsid w:val="000E093D"/>
    <w:tblPr>
      <w:tblStyleRowBandSize w:val="1"/>
      <w:tblStyleColBandSize w:val="1"/>
      <w:tblBorders>
        <w:top w:val="single" w:sz="4" w:space="0" w:color="001A48"/>
        <w:left w:val="single" w:sz="4" w:space="0" w:color="001A48"/>
        <w:bottom w:val="single" w:sz="4" w:space="0" w:color="001A48"/>
        <w:right w:val="single" w:sz="4" w:space="0" w:color="001A48"/>
        <w:insideH w:val="single" w:sz="4" w:space="0" w:color="001A48"/>
        <w:insideV w:val="single" w:sz="4" w:space="0" w:color="001A48"/>
      </w:tblBorders>
      <w:tblCellMar>
        <w:left w:w="0" w:type="dxa"/>
        <w:right w:w="0" w:type="dxa"/>
      </w:tblCellMar>
    </w:tblPr>
    <w:tblStylePr w:type="firstRow">
      <w:tblPr/>
      <w:tcPr>
        <w:shd w:val="clear" w:color="auto" w:fill="003591"/>
      </w:tcPr>
    </w:tblStylePr>
    <w:tblStylePr w:type="lastRow">
      <w:tblPr/>
      <w:tcPr>
        <w:shd w:val="clear" w:color="auto" w:fill="F2F2F2"/>
      </w:tcPr>
    </w:tblStylePr>
    <w:tblStylePr w:type="firstCol">
      <w:tblPr/>
      <w:tcPr>
        <w:shd w:val="clear" w:color="auto" w:fill="003591"/>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ReefTable">
    <w:name w:val="Reef Table"/>
    <w:basedOn w:val="TableNormal"/>
    <w:uiPriority w:val="99"/>
    <w:rsid w:val="000E093D"/>
    <w:tblPr>
      <w:tblStyleRowBandSize w:val="1"/>
      <w:tblStyleColBandSize w:val="1"/>
      <w:tblBorders>
        <w:top w:val="single" w:sz="4" w:space="0" w:color="00506F"/>
        <w:left w:val="single" w:sz="4" w:space="0" w:color="00506F"/>
        <w:bottom w:val="single" w:sz="4" w:space="0" w:color="00506F"/>
        <w:right w:val="single" w:sz="4" w:space="0" w:color="00506F"/>
        <w:insideH w:val="single" w:sz="4" w:space="0" w:color="00506F"/>
        <w:insideV w:val="single" w:sz="4" w:space="0" w:color="00506F"/>
      </w:tblBorders>
      <w:tblCellMar>
        <w:left w:w="0" w:type="dxa"/>
        <w:right w:w="0" w:type="dxa"/>
      </w:tblCellMar>
    </w:tblPr>
    <w:tblStylePr w:type="firstRow">
      <w:rPr>
        <w:color w:val="FFFFFF"/>
      </w:rPr>
      <w:tblPr/>
      <w:tcPr>
        <w:shd w:val="clear" w:color="auto" w:fill="00A1DE"/>
      </w:tcPr>
    </w:tblStylePr>
    <w:tblStylePr w:type="lastRow">
      <w:tblPr/>
      <w:tcPr>
        <w:shd w:val="clear" w:color="auto" w:fill="F2F2F2"/>
      </w:tcPr>
    </w:tblStylePr>
    <w:tblStylePr w:type="firstCol">
      <w:rPr>
        <w:color w:val="FFFFFF"/>
      </w:rPr>
      <w:tblPr/>
      <w:tcPr>
        <w:shd w:val="clear" w:color="auto" w:fill="00A1DE"/>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almTable">
    <w:name w:val="Palm Table"/>
    <w:basedOn w:val="TableNormal"/>
    <w:uiPriority w:val="99"/>
    <w:rsid w:val="003F789E"/>
    <w:tblPr>
      <w:tblStyleRowBandSize w:val="1"/>
      <w:tblStyleColBandSize w:val="1"/>
      <w:tblBorders>
        <w:top w:val="single" w:sz="4" w:space="0" w:color="5A5F00"/>
        <w:left w:val="single" w:sz="4" w:space="0" w:color="5A5F00"/>
        <w:bottom w:val="single" w:sz="4" w:space="0" w:color="5A5F00"/>
        <w:right w:val="single" w:sz="4" w:space="0" w:color="5A5F00"/>
        <w:insideH w:val="single" w:sz="4" w:space="0" w:color="5A5F00"/>
        <w:insideV w:val="single" w:sz="4" w:space="0" w:color="5A5F00"/>
      </w:tblBorders>
      <w:tblCellMar>
        <w:left w:w="0" w:type="dxa"/>
        <w:right w:w="0" w:type="dxa"/>
      </w:tblCellMar>
    </w:tblPr>
    <w:tblStylePr w:type="firstRow">
      <w:tblPr/>
      <w:tcPr>
        <w:shd w:val="clear" w:color="auto" w:fill="B6BF00"/>
      </w:tcPr>
    </w:tblStylePr>
    <w:tblStylePr w:type="lastRow">
      <w:tblPr/>
      <w:tcPr>
        <w:shd w:val="clear" w:color="auto" w:fill="F2F2F2"/>
      </w:tcPr>
    </w:tblStylePr>
    <w:tblStylePr w:type="firstCol">
      <w:tblPr/>
      <w:tcPr>
        <w:shd w:val="clear" w:color="auto" w:fill="B6BF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ineTable">
    <w:name w:val="Pine Table"/>
    <w:basedOn w:val="TableNormal"/>
    <w:uiPriority w:val="99"/>
    <w:rsid w:val="003F789E"/>
    <w:tblPr>
      <w:tblStyleRowBandSize w:val="1"/>
      <w:tblStyleColBandSize w:val="1"/>
      <w:tblBorders>
        <w:top w:val="single" w:sz="4" w:space="0" w:color="003D26"/>
        <w:left w:val="single" w:sz="4" w:space="0" w:color="003D26"/>
        <w:bottom w:val="single" w:sz="4" w:space="0" w:color="003D26"/>
        <w:right w:val="single" w:sz="4" w:space="0" w:color="003D26"/>
        <w:insideH w:val="single" w:sz="4" w:space="0" w:color="003D26"/>
        <w:insideV w:val="single" w:sz="4" w:space="0" w:color="003D26"/>
      </w:tblBorders>
      <w:tblCellMar>
        <w:left w:w="0" w:type="dxa"/>
        <w:right w:w="0" w:type="dxa"/>
      </w:tblCellMar>
    </w:tblPr>
    <w:tblStylePr w:type="firstRow">
      <w:rPr>
        <w:color w:val="FFFFFF"/>
      </w:rPr>
      <w:tblPr/>
      <w:tcPr>
        <w:shd w:val="clear" w:color="auto" w:fill="007A4D"/>
      </w:tcPr>
    </w:tblStylePr>
    <w:tblStylePr w:type="lastRow">
      <w:tblPr/>
      <w:tcPr>
        <w:shd w:val="clear" w:color="auto" w:fill="F2F2F2"/>
      </w:tcPr>
    </w:tblStylePr>
    <w:tblStylePr w:type="firstCol">
      <w:rPr>
        <w:color w:val="FFFFFF"/>
      </w:rPr>
      <w:tblPr/>
      <w:tcPr>
        <w:shd w:val="clear" w:color="auto" w:fill="007A4D"/>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SunTable">
    <w:name w:val="Sun Table"/>
    <w:basedOn w:val="TableNormal"/>
    <w:uiPriority w:val="99"/>
    <w:rsid w:val="003F789E"/>
    <w:tblPr>
      <w:tblStyleRowBandSize w:val="1"/>
      <w:tblStyleColBandSize w:val="1"/>
      <w:tblBorders>
        <w:top w:val="single" w:sz="4" w:space="0" w:color="755B00"/>
        <w:left w:val="single" w:sz="4" w:space="0" w:color="755B00"/>
        <w:bottom w:val="single" w:sz="4" w:space="0" w:color="755B00"/>
        <w:right w:val="single" w:sz="4" w:space="0" w:color="755B00"/>
        <w:insideH w:val="single" w:sz="4" w:space="0" w:color="755B00"/>
        <w:insideV w:val="single" w:sz="4" w:space="0" w:color="755B00"/>
      </w:tblBorders>
      <w:tblCellMar>
        <w:left w:w="0" w:type="dxa"/>
        <w:right w:w="0" w:type="dxa"/>
      </w:tblCellMar>
    </w:tblPr>
    <w:tblStylePr w:type="firstRow">
      <w:tblPr/>
      <w:tcPr>
        <w:shd w:val="clear" w:color="auto" w:fill="EBB700"/>
      </w:tcPr>
    </w:tblStylePr>
    <w:tblStylePr w:type="lastRow">
      <w:tblPr/>
      <w:tcPr>
        <w:shd w:val="clear" w:color="auto" w:fill="F2F2F2"/>
      </w:tcPr>
    </w:tblStylePr>
    <w:tblStylePr w:type="firstCol">
      <w:tblPr/>
      <w:tcPr>
        <w:shd w:val="clear" w:color="auto" w:fill="EBB7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EarthTable">
    <w:name w:val="Earth Table"/>
    <w:basedOn w:val="TableNormal"/>
    <w:uiPriority w:val="99"/>
    <w:rsid w:val="003F789E"/>
    <w:tblPr>
      <w:tblStyleRowBandSize w:val="1"/>
      <w:tblStyleColBandSize w:val="1"/>
      <w:tblBorders>
        <w:top w:val="single" w:sz="4" w:space="0" w:color="622500"/>
        <w:left w:val="single" w:sz="4" w:space="0" w:color="622500"/>
        <w:bottom w:val="single" w:sz="4" w:space="0" w:color="622500"/>
        <w:right w:val="single" w:sz="4" w:space="0" w:color="622500"/>
        <w:insideH w:val="single" w:sz="4" w:space="0" w:color="622500"/>
        <w:insideV w:val="single" w:sz="4" w:space="0" w:color="622500"/>
      </w:tblBorders>
      <w:tblCellMar>
        <w:left w:w="0" w:type="dxa"/>
        <w:right w:w="0" w:type="dxa"/>
      </w:tblCellMar>
    </w:tblPr>
    <w:tblStylePr w:type="firstRow">
      <w:rPr>
        <w:color w:val="FFFFFF"/>
      </w:rPr>
      <w:tblPr/>
      <w:tcPr>
        <w:shd w:val="clear" w:color="auto" w:fill="C54C00"/>
      </w:tcPr>
    </w:tblStylePr>
    <w:tblStylePr w:type="lastRow">
      <w:tblPr/>
      <w:tcPr>
        <w:shd w:val="clear" w:color="auto" w:fill="F2F2F2"/>
      </w:tcPr>
    </w:tblStylePr>
    <w:tblStylePr w:type="firstCol">
      <w:rPr>
        <w:color w:val="FFFFFF"/>
      </w:rPr>
      <w:tblPr/>
      <w:tcPr>
        <w:shd w:val="clear" w:color="auto" w:fill="C54C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C5799F"/>
    <w:pPr>
      <w:spacing w:before="240" w:after="240" w:line="264" w:lineRule="auto"/>
    </w:pPr>
    <w:rPr>
      <w:b/>
      <w:color w:val="003591"/>
      <w:sz w:val="32"/>
    </w:rPr>
  </w:style>
  <w:style w:type="paragraph" w:customStyle="1" w:styleId="AppendixH1">
    <w:name w:val="Appendix H1"/>
    <w:basedOn w:val="Heading1"/>
    <w:next w:val="BodyText"/>
    <w:uiPriority w:val="14"/>
    <w:semiHidden/>
    <w:qFormat/>
    <w:rsid w:val="00862690"/>
    <w:pPr>
      <w:pageBreakBefore/>
      <w:numPr>
        <w:numId w:val="9"/>
      </w:numPr>
    </w:pPr>
  </w:style>
  <w:style w:type="paragraph" w:customStyle="1" w:styleId="AppendixH2">
    <w:name w:val="Appendix H2"/>
    <w:basedOn w:val="Heading2"/>
    <w:next w:val="BodyText"/>
    <w:uiPriority w:val="14"/>
    <w:semiHidden/>
    <w:qFormat/>
    <w:rsid w:val="00E87A8D"/>
    <w:pPr>
      <w:numPr>
        <w:ilvl w:val="1"/>
        <w:numId w:val="9"/>
      </w:numPr>
    </w:pPr>
  </w:style>
  <w:style w:type="paragraph" w:customStyle="1" w:styleId="AppendixH3">
    <w:name w:val="Appendix H3"/>
    <w:basedOn w:val="Heading3"/>
    <w:next w:val="BodyText"/>
    <w:uiPriority w:val="14"/>
    <w:semiHidden/>
    <w:qFormat/>
    <w:rsid w:val="00E87A8D"/>
    <w:pPr>
      <w:numPr>
        <w:ilvl w:val="2"/>
        <w:numId w:val="9"/>
      </w:numPr>
    </w:pPr>
  </w:style>
  <w:style w:type="numbering" w:customStyle="1" w:styleId="ListAppendix">
    <w:name w:val="List_Appendix"/>
    <w:uiPriority w:val="99"/>
    <w:rsid w:val="00E87A8D"/>
    <w:pPr>
      <w:numPr>
        <w:numId w:val="9"/>
      </w:numPr>
    </w:pPr>
  </w:style>
  <w:style w:type="paragraph" w:styleId="TOC8">
    <w:name w:val="toc 8"/>
    <w:basedOn w:val="TOC2"/>
    <w:next w:val="Normal"/>
    <w:autoRedefine/>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uiPriority w:val="99"/>
    <w:rsid w:val="00B742E4"/>
    <w:rPr>
      <w:color w:val="234089"/>
      <w:u w:val="single"/>
    </w:rPr>
  </w:style>
  <w:style w:type="numbering" w:customStyle="1" w:styleId="ListNumberedHeadings">
    <w:name w:val="List_NumberedHeadings"/>
    <w:uiPriority w:val="99"/>
    <w:rsid w:val="006C0E44"/>
    <w:pPr>
      <w:numPr>
        <w:numId w:val="10"/>
      </w:numPr>
    </w:pPr>
  </w:style>
  <w:style w:type="paragraph" w:customStyle="1" w:styleId="IntroParagraph">
    <w:name w:val="Intro Paragraph"/>
    <w:basedOn w:val="Normal"/>
    <w:next w:val="BodyText"/>
    <w:qFormat/>
    <w:rsid w:val="00345686"/>
    <w:pPr>
      <w:spacing w:before="240" w:after="240" w:line="288" w:lineRule="auto"/>
    </w:pPr>
    <w:rPr>
      <w:b/>
      <w:color w:val="00A1DE"/>
      <w:sz w:val="28"/>
      <w:szCs w:val="28"/>
      <w:lang w:val="en-US"/>
    </w:rPr>
  </w:style>
  <w:style w:type="paragraph" w:styleId="BalloonText">
    <w:name w:val="Balloon Text"/>
    <w:basedOn w:val="Normal"/>
    <w:link w:val="BalloonTextChar"/>
    <w:uiPriority w:val="99"/>
    <w:semiHidden/>
    <w:unhideWhenUsed/>
    <w:rsid w:val="002D74AA"/>
    <w:rPr>
      <w:rFonts w:ascii="Segoe UI" w:hAnsi="Segoe UI" w:cs="Segoe UI"/>
      <w:sz w:val="18"/>
      <w:szCs w:val="18"/>
    </w:rPr>
  </w:style>
  <w:style w:type="character" w:customStyle="1" w:styleId="BalloonTextChar">
    <w:name w:val="Balloon Text Char"/>
    <w:link w:val="BalloonText"/>
    <w:uiPriority w:val="99"/>
    <w:semiHidden/>
    <w:rsid w:val="002D74AA"/>
    <w:rPr>
      <w:rFonts w:ascii="Segoe UI" w:hAnsi="Segoe UI" w:cs="Segoe UI"/>
      <w:sz w:val="18"/>
      <w:szCs w:val="18"/>
    </w:rPr>
  </w:style>
  <w:style w:type="paragraph" w:customStyle="1" w:styleId="ListBulletWhite">
    <w:name w:val="List Bullet White"/>
    <w:basedOn w:val="Normal"/>
    <w:uiPriority w:val="99"/>
    <w:rsid w:val="009E2F07"/>
    <w:pPr>
      <w:numPr>
        <w:numId w:val="17"/>
      </w:numPr>
      <w:spacing w:before="60" w:after="60" w:line="276" w:lineRule="auto"/>
    </w:pPr>
    <w:rPr>
      <w:rFonts w:eastAsia="Times New Roman"/>
      <w:color w:val="FFFFFF"/>
      <w:szCs w:val="24"/>
      <w:lang w:eastAsia="en-AU"/>
    </w:rPr>
  </w:style>
  <w:style w:type="character" w:styleId="UnresolvedMention">
    <w:name w:val="Unresolved Mention"/>
    <w:basedOn w:val="DefaultParagraphFont"/>
    <w:uiPriority w:val="99"/>
    <w:semiHidden/>
    <w:unhideWhenUsed/>
    <w:rsid w:val="005B7E6B"/>
    <w:rPr>
      <w:color w:val="808080"/>
      <w:shd w:val="clear" w:color="auto" w:fill="E6E6E6"/>
    </w:rPr>
  </w:style>
  <w:style w:type="character" w:styleId="FollowedHyperlink">
    <w:name w:val="FollowedHyperlink"/>
    <w:basedOn w:val="DefaultParagraphFont"/>
    <w:uiPriority w:val="15"/>
    <w:semiHidden/>
    <w:unhideWhenUsed/>
    <w:rsid w:val="006B3962"/>
    <w:rPr>
      <w:color w:val="800080" w:themeColor="followedHyperlink"/>
      <w:u w:val="single"/>
    </w:rPr>
  </w:style>
  <w:style w:type="character" w:customStyle="1" w:styleId="normaltextrun1">
    <w:name w:val="normaltextrun1"/>
    <w:basedOn w:val="DefaultParagraphFont"/>
    <w:rsid w:val="00AA74A3"/>
  </w:style>
  <w:style w:type="character" w:customStyle="1" w:styleId="contentcontrol">
    <w:name w:val="contentcontrol"/>
    <w:basedOn w:val="DefaultParagraphFont"/>
    <w:rsid w:val="00AA74A3"/>
  </w:style>
  <w:style w:type="paragraph" w:styleId="NormalWeb">
    <w:name w:val="Normal (Web)"/>
    <w:basedOn w:val="Normal"/>
    <w:uiPriority w:val="99"/>
    <w:semiHidden/>
    <w:unhideWhenUsed/>
    <w:rsid w:val="00AF1FD1"/>
    <w:pPr>
      <w:spacing w:before="100" w:beforeAutospacing="1" w:after="100" w:afterAutospacing="1"/>
    </w:pPr>
    <w:rPr>
      <w:rFonts w:ascii="Times New Roman" w:eastAsia="Times New Roman" w:hAnsi="Times New Roman"/>
      <w:sz w:val="24"/>
      <w:szCs w:val="24"/>
      <w:lang w:eastAsia="en-AU"/>
    </w:rPr>
  </w:style>
  <w:style w:type="character" w:customStyle="1" w:styleId="acopre1">
    <w:name w:val="acopre1"/>
    <w:basedOn w:val="DefaultParagraphFont"/>
    <w:rsid w:val="008C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17644">
      <w:bodyDiv w:val="1"/>
      <w:marLeft w:val="0"/>
      <w:marRight w:val="0"/>
      <w:marTop w:val="0"/>
      <w:marBottom w:val="0"/>
      <w:divBdr>
        <w:top w:val="none" w:sz="0" w:space="0" w:color="auto"/>
        <w:left w:val="none" w:sz="0" w:space="0" w:color="auto"/>
        <w:bottom w:val="none" w:sz="0" w:space="0" w:color="auto"/>
        <w:right w:val="none" w:sz="0" w:space="0" w:color="auto"/>
      </w:divBdr>
    </w:div>
    <w:div w:id="504515513">
      <w:bodyDiv w:val="1"/>
      <w:marLeft w:val="0"/>
      <w:marRight w:val="0"/>
      <w:marTop w:val="0"/>
      <w:marBottom w:val="0"/>
      <w:divBdr>
        <w:top w:val="none" w:sz="0" w:space="0" w:color="auto"/>
        <w:left w:val="none" w:sz="0" w:space="0" w:color="auto"/>
        <w:bottom w:val="none" w:sz="0" w:space="0" w:color="auto"/>
        <w:right w:val="none" w:sz="0" w:space="0" w:color="auto"/>
      </w:divBdr>
    </w:div>
    <w:div w:id="614210324">
      <w:bodyDiv w:val="1"/>
      <w:marLeft w:val="0"/>
      <w:marRight w:val="0"/>
      <w:marTop w:val="0"/>
      <w:marBottom w:val="0"/>
      <w:divBdr>
        <w:top w:val="none" w:sz="0" w:space="0" w:color="auto"/>
        <w:left w:val="none" w:sz="0" w:space="0" w:color="auto"/>
        <w:bottom w:val="none" w:sz="0" w:space="0" w:color="auto"/>
        <w:right w:val="none" w:sz="0" w:space="0" w:color="auto"/>
      </w:divBdr>
      <w:divsChild>
        <w:div w:id="1248417302">
          <w:marLeft w:val="0"/>
          <w:marRight w:val="0"/>
          <w:marTop w:val="0"/>
          <w:marBottom w:val="0"/>
          <w:divBdr>
            <w:top w:val="none" w:sz="0" w:space="0" w:color="auto"/>
            <w:left w:val="none" w:sz="0" w:space="0" w:color="auto"/>
            <w:bottom w:val="none" w:sz="0" w:space="0" w:color="auto"/>
            <w:right w:val="none" w:sz="0" w:space="0" w:color="auto"/>
          </w:divBdr>
          <w:divsChild>
            <w:div w:id="429200150">
              <w:marLeft w:val="0"/>
              <w:marRight w:val="0"/>
              <w:marTop w:val="0"/>
              <w:marBottom w:val="0"/>
              <w:divBdr>
                <w:top w:val="none" w:sz="0" w:space="0" w:color="auto"/>
                <w:left w:val="none" w:sz="0" w:space="0" w:color="auto"/>
                <w:bottom w:val="none" w:sz="0" w:space="0" w:color="auto"/>
                <w:right w:val="none" w:sz="0" w:space="0" w:color="auto"/>
              </w:divBdr>
              <w:divsChild>
                <w:div w:id="1235238053">
                  <w:marLeft w:val="0"/>
                  <w:marRight w:val="0"/>
                  <w:marTop w:val="0"/>
                  <w:marBottom w:val="0"/>
                  <w:divBdr>
                    <w:top w:val="none" w:sz="0" w:space="0" w:color="auto"/>
                    <w:left w:val="none" w:sz="0" w:space="0" w:color="auto"/>
                    <w:bottom w:val="none" w:sz="0" w:space="0" w:color="auto"/>
                    <w:right w:val="none" w:sz="0" w:space="0" w:color="auto"/>
                  </w:divBdr>
                  <w:divsChild>
                    <w:div w:id="1819027377">
                      <w:marLeft w:val="0"/>
                      <w:marRight w:val="0"/>
                      <w:marTop w:val="0"/>
                      <w:marBottom w:val="0"/>
                      <w:divBdr>
                        <w:top w:val="none" w:sz="0" w:space="0" w:color="auto"/>
                        <w:left w:val="none" w:sz="0" w:space="0" w:color="auto"/>
                        <w:bottom w:val="none" w:sz="0" w:space="0" w:color="auto"/>
                        <w:right w:val="none" w:sz="0" w:space="0" w:color="auto"/>
                      </w:divBdr>
                      <w:divsChild>
                        <w:div w:id="8642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87003">
      <w:bodyDiv w:val="1"/>
      <w:marLeft w:val="0"/>
      <w:marRight w:val="0"/>
      <w:marTop w:val="0"/>
      <w:marBottom w:val="0"/>
      <w:divBdr>
        <w:top w:val="none" w:sz="0" w:space="0" w:color="auto"/>
        <w:left w:val="none" w:sz="0" w:space="0" w:color="auto"/>
        <w:bottom w:val="none" w:sz="0" w:space="0" w:color="auto"/>
        <w:right w:val="none" w:sz="0" w:space="0" w:color="auto"/>
      </w:divBdr>
    </w:div>
    <w:div w:id="1547645912">
      <w:bodyDiv w:val="1"/>
      <w:marLeft w:val="0"/>
      <w:marRight w:val="0"/>
      <w:marTop w:val="0"/>
      <w:marBottom w:val="0"/>
      <w:divBdr>
        <w:top w:val="none" w:sz="0" w:space="0" w:color="auto"/>
        <w:left w:val="none" w:sz="0" w:space="0" w:color="auto"/>
        <w:bottom w:val="none" w:sz="0" w:space="0" w:color="auto"/>
        <w:right w:val="none" w:sz="0" w:space="0" w:color="auto"/>
      </w:divBdr>
    </w:div>
    <w:div w:id="1776486927">
      <w:bodyDiv w:val="1"/>
      <w:marLeft w:val="0"/>
      <w:marRight w:val="0"/>
      <w:marTop w:val="0"/>
      <w:marBottom w:val="0"/>
      <w:divBdr>
        <w:top w:val="none" w:sz="0" w:space="0" w:color="auto"/>
        <w:left w:val="none" w:sz="0" w:space="0" w:color="auto"/>
        <w:bottom w:val="none" w:sz="0" w:space="0" w:color="auto"/>
        <w:right w:val="none" w:sz="0" w:space="0" w:color="auto"/>
      </w:divBdr>
    </w:div>
    <w:div w:id="2052684257">
      <w:bodyDiv w:val="1"/>
      <w:marLeft w:val="0"/>
      <w:marRight w:val="0"/>
      <w:marTop w:val="0"/>
      <w:marBottom w:val="0"/>
      <w:divBdr>
        <w:top w:val="none" w:sz="0" w:space="0" w:color="auto"/>
        <w:left w:val="none" w:sz="0" w:space="0" w:color="auto"/>
        <w:bottom w:val="none" w:sz="0" w:space="0" w:color="auto"/>
        <w:right w:val="none" w:sz="0" w:space="0" w:color="auto"/>
      </w:divBdr>
    </w:div>
    <w:div w:id="20907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our-values" TargetMode="External"/><Relationship Id="rId13" Type="http://schemas.openxmlformats.org/officeDocument/2006/relationships/image" Target="media/image1.png"/><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qheps.health.qld.gov.au/__data/assets/pdf_file/0035/2801978/strategic-plan.pdf" TargetMode="External"/><Relationship Id="rId17" Type="http://schemas.openxmlformats.org/officeDocument/2006/relationships/hyperlink" Target="https://www.legislation.qld.gov.au/legisltn/current/w/workerscompa0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ld.gov.au/gov/documents/policy/lobbyist-disclosure" TargetMode="External"/><Relationship Id="rId20" Type="http://schemas.openxmlformats.org/officeDocument/2006/relationships/hyperlink" Target="https://qheps.health.qld.gov.au/smoke-free/quitsmo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jobs.qld.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ownsville.health.qld.gov.au/about-us/health-equity/" TargetMode="External"/><Relationship Id="rId23" Type="http://schemas.openxmlformats.org/officeDocument/2006/relationships/footer" Target="footer2.xml"/><Relationship Id="rId10" Type="http://schemas.openxmlformats.org/officeDocument/2006/relationships/hyperlink" Target="https://www.legislation.qld.gov.au/LEGISLTN/CURRENT/W/WorkHSA11.pdf" TargetMode="External"/><Relationship Id="rId19"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hyperlink" Target="https://www.safetyandquality.gov.au/" TargetMode="External"/><Relationship Id="rId14" Type="http://schemas.openxmlformats.org/officeDocument/2006/relationships/hyperlink" Target="https://www.townsville.health.qld.gov.au/"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monAL\AppData\Local\Temp\Temp3_Templates%20Download.zip\18-0212%20THHS%20Template%20set\Report%20Template%202.dotx" TargetMode="External"/></Relationships>
</file>

<file path=word/theme/theme1.xml><?xml version="1.0" encoding="utf-8"?>
<a:theme xmlns:a="http://schemas.openxmlformats.org/drawingml/2006/main" name="Office Theme">
  <a:themeElements>
    <a:clrScheme name="THHS Style Guide">
      <a:dk1>
        <a:sysClr val="windowText" lastClr="000000"/>
      </a:dk1>
      <a:lt1>
        <a:sysClr val="window" lastClr="FFFFFF"/>
      </a:lt1>
      <a:dk2>
        <a:srgbClr val="003591"/>
      </a:dk2>
      <a:lt2>
        <a:srgbClr val="00A1DE"/>
      </a:lt2>
      <a:accent1>
        <a:srgbClr val="B6BF00"/>
      </a:accent1>
      <a:accent2>
        <a:srgbClr val="007A4D"/>
      </a:accent2>
      <a:accent3>
        <a:srgbClr val="EBB700"/>
      </a:accent3>
      <a:accent4>
        <a:srgbClr val="C54C00"/>
      </a:accent4>
      <a:accent5>
        <a:srgbClr val="D2C295"/>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3A82-8EEF-46FA-BB65-D9590E92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2</Template>
  <TotalTime>0</TotalTime>
  <Pages>5</Pages>
  <Words>2540</Words>
  <Characters>14481</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Role Description Template | Townsville HHS | Employment Services</vt:lpstr>
    </vt:vector>
  </TitlesOfParts>
  <Company>Townsville Hospital and Health Service</Company>
  <LinksUpToDate>false</LinksUpToDate>
  <CharactersWithSpaces>16988</CharactersWithSpaces>
  <SharedDoc>false</SharedDoc>
  <HLinks>
    <vt:vector size="54" baseType="variant">
      <vt:variant>
        <vt:i4>1900598</vt:i4>
      </vt:variant>
      <vt:variant>
        <vt:i4>59</vt:i4>
      </vt:variant>
      <vt:variant>
        <vt:i4>0</vt:i4>
      </vt:variant>
      <vt:variant>
        <vt:i4>5</vt:i4>
      </vt:variant>
      <vt:variant>
        <vt:lpwstr/>
      </vt:variant>
      <vt:variant>
        <vt:lpwstr>_Toc505860029</vt:lpwstr>
      </vt:variant>
      <vt:variant>
        <vt:i4>1900598</vt:i4>
      </vt:variant>
      <vt:variant>
        <vt:i4>53</vt:i4>
      </vt:variant>
      <vt:variant>
        <vt:i4>0</vt:i4>
      </vt:variant>
      <vt:variant>
        <vt:i4>5</vt:i4>
      </vt:variant>
      <vt:variant>
        <vt:lpwstr/>
      </vt:variant>
      <vt:variant>
        <vt:lpwstr>_Toc505860028</vt:lpwstr>
      </vt:variant>
      <vt:variant>
        <vt:i4>1900598</vt:i4>
      </vt:variant>
      <vt:variant>
        <vt:i4>47</vt:i4>
      </vt:variant>
      <vt:variant>
        <vt:i4>0</vt:i4>
      </vt:variant>
      <vt:variant>
        <vt:i4>5</vt:i4>
      </vt:variant>
      <vt:variant>
        <vt:lpwstr/>
      </vt:variant>
      <vt:variant>
        <vt:lpwstr>_Toc505860027</vt:lpwstr>
      </vt:variant>
      <vt:variant>
        <vt:i4>1900598</vt:i4>
      </vt:variant>
      <vt:variant>
        <vt:i4>41</vt:i4>
      </vt:variant>
      <vt:variant>
        <vt:i4>0</vt:i4>
      </vt:variant>
      <vt:variant>
        <vt:i4>5</vt:i4>
      </vt:variant>
      <vt:variant>
        <vt:lpwstr/>
      </vt:variant>
      <vt:variant>
        <vt:lpwstr>_Toc505860026</vt:lpwstr>
      </vt:variant>
      <vt:variant>
        <vt:i4>1900598</vt:i4>
      </vt:variant>
      <vt:variant>
        <vt:i4>35</vt:i4>
      </vt:variant>
      <vt:variant>
        <vt:i4>0</vt:i4>
      </vt:variant>
      <vt:variant>
        <vt:i4>5</vt:i4>
      </vt:variant>
      <vt:variant>
        <vt:lpwstr/>
      </vt:variant>
      <vt:variant>
        <vt:lpwstr>_Toc505860025</vt:lpwstr>
      </vt:variant>
      <vt:variant>
        <vt:i4>1900598</vt:i4>
      </vt:variant>
      <vt:variant>
        <vt:i4>29</vt:i4>
      </vt:variant>
      <vt:variant>
        <vt:i4>0</vt:i4>
      </vt:variant>
      <vt:variant>
        <vt:i4>5</vt:i4>
      </vt:variant>
      <vt:variant>
        <vt:lpwstr/>
      </vt:variant>
      <vt:variant>
        <vt:lpwstr>_Toc505860024</vt:lpwstr>
      </vt:variant>
      <vt:variant>
        <vt:i4>1900598</vt:i4>
      </vt:variant>
      <vt:variant>
        <vt:i4>23</vt:i4>
      </vt:variant>
      <vt:variant>
        <vt:i4>0</vt:i4>
      </vt:variant>
      <vt:variant>
        <vt:i4>5</vt:i4>
      </vt:variant>
      <vt:variant>
        <vt:lpwstr/>
      </vt:variant>
      <vt:variant>
        <vt:lpwstr>_Toc505860023</vt:lpwstr>
      </vt:variant>
      <vt:variant>
        <vt:i4>1900598</vt:i4>
      </vt:variant>
      <vt:variant>
        <vt:i4>17</vt:i4>
      </vt:variant>
      <vt:variant>
        <vt:i4>0</vt:i4>
      </vt:variant>
      <vt:variant>
        <vt:i4>5</vt:i4>
      </vt:variant>
      <vt:variant>
        <vt:lpwstr/>
      </vt:variant>
      <vt:variant>
        <vt:lpwstr>_Toc505860022</vt:lpwstr>
      </vt:variant>
      <vt:variant>
        <vt:i4>1900598</vt:i4>
      </vt:variant>
      <vt:variant>
        <vt:i4>11</vt:i4>
      </vt:variant>
      <vt:variant>
        <vt:i4>0</vt:i4>
      </vt:variant>
      <vt:variant>
        <vt:i4>5</vt:i4>
      </vt:variant>
      <vt:variant>
        <vt:lpwstr/>
      </vt:variant>
      <vt:variant>
        <vt:lpwstr>_Toc505860021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 Townsville HHS | Employment Services</dc:title>
  <dc:subject>Role Description for position within the Townsville HHS</dc:subject>
  <dc:creator>Employment Services - Townsville HHS QH QG</dc:creator>
  <cp:keywords>townsville,role description,job description,responsibilities,role,job,template,THHS,Townsville HHS,HHS,hospital,position,position description,</cp:keywords>
  <dc:description>Role Description Template | Townsville HHS | Employment Services</dc:description>
  <cp:lastModifiedBy>Taryn OBrien</cp:lastModifiedBy>
  <cp:revision>2</cp:revision>
  <cp:lastPrinted>2018-01-31T06:39:00Z</cp:lastPrinted>
  <dcterms:created xsi:type="dcterms:W3CDTF">2024-06-21T04:55:00Z</dcterms:created>
  <dcterms:modified xsi:type="dcterms:W3CDTF">2024-06-21T04:55:00Z</dcterms:modified>
  <cp:category>Role Description</cp:category>
</cp:coreProperties>
</file>