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4"/>
        <w:gridCol w:w="4853"/>
        <w:gridCol w:w="4739"/>
      </w:tblGrid>
      <w:tr w:rsidR="00FE46FF" w:rsidRPr="00201676" w14:paraId="0FD1DD04" w14:textId="46044D25" w:rsidTr="00745CA1">
        <w:trPr>
          <w:trHeight w:val="787"/>
        </w:trPr>
        <w:tc>
          <w:tcPr>
            <w:tcW w:w="846" w:type="dxa"/>
            <w:shd w:val="clear" w:color="auto" w:fill="auto"/>
          </w:tcPr>
          <w:p w14:paraId="4FAB48A1" w14:textId="27C561B5" w:rsidR="00F16184" w:rsidRDefault="008B7571" w:rsidP="0002235C">
            <w:pPr>
              <w:rPr>
                <w:b/>
                <w:bCs/>
                <w:noProof/>
                <w:sz w:val="18"/>
                <w:szCs w:val="18"/>
              </w:rPr>
            </w:pPr>
            <w:r w:rsidRPr="000D7A82">
              <w:rPr>
                <w:b/>
                <w:bCs/>
                <w:noProof/>
                <w:sz w:val="18"/>
                <w:szCs w:val="18"/>
              </w:rPr>
              <w:drawing>
                <wp:inline distT="0" distB="0" distL="0" distR="0" wp14:anchorId="5A42286E" wp14:editId="3715EF56">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2505" cy="412505"/>
                          </a:xfrm>
                          <a:prstGeom prst="rect">
                            <a:avLst/>
                          </a:prstGeom>
                        </pic:spPr>
                      </pic:pic>
                    </a:graphicData>
                  </a:graphic>
                </wp:inline>
              </w:drawing>
            </w:r>
          </w:p>
          <w:p w14:paraId="55A44755" w14:textId="4D2EC752" w:rsidR="008B7571" w:rsidRPr="000D7A82" w:rsidRDefault="008B7571" w:rsidP="0002235C">
            <w:pPr>
              <w:rPr>
                <w:b/>
                <w:bCs/>
                <w:noProof/>
                <w:sz w:val="18"/>
                <w:szCs w:val="18"/>
              </w:rPr>
            </w:pPr>
          </w:p>
        </w:tc>
        <w:tc>
          <w:tcPr>
            <w:tcW w:w="4857" w:type="dxa"/>
            <w:shd w:val="clear" w:color="auto" w:fill="auto"/>
          </w:tcPr>
          <w:p w14:paraId="1A517068" w14:textId="0AC839F7" w:rsidR="00FE46FF" w:rsidRPr="000D7A82" w:rsidRDefault="00FE46FF" w:rsidP="008B7571">
            <w:pPr>
              <w:spacing w:before="120"/>
              <w:rPr>
                <w:b/>
                <w:bCs/>
                <w:sz w:val="18"/>
                <w:szCs w:val="18"/>
              </w:rPr>
            </w:pPr>
            <w:r w:rsidRPr="000D7A82">
              <w:rPr>
                <w:b/>
                <w:bCs/>
                <w:sz w:val="18"/>
                <w:szCs w:val="18"/>
              </w:rPr>
              <w:t>Role type</w:t>
            </w:r>
          </w:p>
          <w:p w14:paraId="4152082B" w14:textId="4C99B0EF" w:rsidR="001071E0" w:rsidRPr="000D7A82" w:rsidRDefault="00730DB1" w:rsidP="00F16184">
            <w:pPr>
              <w:rPr>
                <w:sz w:val="18"/>
                <w:szCs w:val="18"/>
              </w:rPr>
            </w:pPr>
            <w:r>
              <w:rPr>
                <w:sz w:val="18"/>
                <w:szCs w:val="18"/>
              </w:rPr>
              <w:t>Permanent full time</w:t>
            </w:r>
          </w:p>
        </w:tc>
        <w:tc>
          <w:tcPr>
            <w:tcW w:w="4743" w:type="dxa"/>
            <w:vMerge w:val="restart"/>
            <w:shd w:val="clear" w:color="auto" w:fill="CBD3ED"/>
          </w:tcPr>
          <w:p w14:paraId="3256A4A5" w14:textId="4CD8F83B" w:rsidR="0024317B" w:rsidRDefault="0002235C" w:rsidP="008B7571">
            <w:pPr>
              <w:spacing w:before="120" w:after="120" w:line="259" w:lineRule="auto"/>
              <w:ind w:left="113" w:right="164"/>
              <w:jc w:val="both"/>
              <w:rPr>
                <w:szCs w:val="21"/>
              </w:rPr>
            </w:pPr>
            <w:r w:rsidRPr="0002235C">
              <w:rPr>
                <w:szCs w:val="21"/>
              </w:rPr>
              <w:t>Our purpose is to deliver contemporary regulatory and other government services to Queenslanders</w:t>
            </w:r>
            <w:r w:rsidR="00EA561D">
              <w:rPr>
                <w:szCs w:val="21"/>
              </w:rPr>
              <w:t>.</w:t>
            </w:r>
          </w:p>
          <w:p w14:paraId="07981CA6" w14:textId="718FBE94" w:rsidR="005F538E" w:rsidRDefault="0024317B" w:rsidP="008B7571">
            <w:pPr>
              <w:spacing w:before="120" w:after="120" w:line="259" w:lineRule="auto"/>
              <w:ind w:left="113" w:right="164"/>
              <w:jc w:val="both"/>
              <w:rPr>
                <w:szCs w:val="21"/>
              </w:rPr>
            </w:pPr>
            <w:r>
              <w:rPr>
                <w:szCs w:val="21"/>
              </w:rPr>
              <w:t xml:space="preserve">Our </w:t>
            </w:r>
            <w:r w:rsidR="0002235C" w:rsidRPr="0002235C">
              <w:rPr>
                <w:szCs w:val="21"/>
              </w:rPr>
              <w:t>vision is for Queensland workers, industry and communities, to be healthy, safe, fair and productive.</w:t>
            </w:r>
          </w:p>
          <w:p w14:paraId="3E95EF3C" w14:textId="50329507" w:rsidR="0002235C" w:rsidRPr="0002235C" w:rsidRDefault="0002235C" w:rsidP="008B7571">
            <w:pPr>
              <w:spacing w:before="120" w:after="120" w:line="259" w:lineRule="auto"/>
              <w:ind w:left="113" w:right="164"/>
              <w:jc w:val="both"/>
              <w:rPr>
                <w:szCs w:val="21"/>
              </w:rPr>
            </w:pPr>
            <w:r w:rsidRPr="0002235C">
              <w:rPr>
                <w:szCs w:val="21"/>
              </w:rPr>
              <w:t xml:space="preserve">To achieve </w:t>
            </w:r>
            <w:r w:rsidR="0024317B">
              <w:rPr>
                <w:szCs w:val="21"/>
              </w:rPr>
              <w:t>this</w:t>
            </w:r>
            <w:r w:rsidR="008D28FC">
              <w:rPr>
                <w:szCs w:val="21"/>
              </w:rPr>
              <w:t xml:space="preserve">, </w:t>
            </w:r>
            <w:r w:rsidRPr="0002235C">
              <w:rPr>
                <w:szCs w:val="21"/>
              </w:rPr>
              <w:t>we focus on three priorities:</w:t>
            </w:r>
          </w:p>
          <w:p w14:paraId="3A1A2ACE" w14:textId="77777777" w:rsidR="005F538E" w:rsidRPr="00EA561D" w:rsidRDefault="0002235C" w:rsidP="008B7571">
            <w:pPr>
              <w:spacing w:before="120" w:after="120" w:line="259" w:lineRule="auto"/>
              <w:ind w:left="113" w:right="164"/>
              <w:jc w:val="both"/>
              <w:rPr>
                <w:color w:val="2F5496" w:themeColor="accent1" w:themeShade="BF"/>
                <w:sz w:val="22"/>
              </w:rPr>
            </w:pPr>
            <w:r w:rsidRPr="00EA561D">
              <w:rPr>
                <w:color w:val="2F5496" w:themeColor="accent1" w:themeShade="BF"/>
                <w:sz w:val="22"/>
              </w:rPr>
              <w:t xml:space="preserve">Industry, community and partnerships </w:t>
            </w:r>
          </w:p>
          <w:p w14:paraId="782644E5" w14:textId="77777777" w:rsidR="005F538E" w:rsidRPr="00EA561D" w:rsidRDefault="0002235C" w:rsidP="008B7571">
            <w:pPr>
              <w:spacing w:before="120" w:after="120" w:line="259" w:lineRule="auto"/>
              <w:ind w:left="113" w:right="164"/>
              <w:jc w:val="both"/>
              <w:rPr>
                <w:color w:val="2F5496" w:themeColor="accent1" w:themeShade="BF"/>
                <w:sz w:val="22"/>
              </w:rPr>
            </w:pPr>
            <w:r w:rsidRPr="00EA561D">
              <w:rPr>
                <w:color w:val="2F5496" w:themeColor="accent1" w:themeShade="BF"/>
                <w:sz w:val="22"/>
              </w:rPr>
              <w:t xml:space="preserve">Regulatory standards </w:t>
            </w:r>
          </w:p>
          <w:p w14:paraId="63DAC324" w14:textId="52BB57DB" w:rsidR="0002235C" w:rsidRPr="00EA561D" w:rsidRDefault="0002235C" w:rsidP="008B7571">
            <w:pPr>
              <w:spacing w:before="120" w:after="120" w:line="259" w:lineRule="auto"/>
              <w:ind w:left="113" w:right="164"/>
              <w:jc w:val="both"/>
              <w:rPr>
                <w:color w:val="2F5496" w:themeColor="accent1" w:themeShade="BF"/>
                <w:sz w:val="24"/>
                <w:szCs w:val="24"/>
              </w:rPr>
            </w:pPr>
            <w:r w:rsidRPr="00EA561D">
              <w:rPr>
                <w:color w:val="2F5496" w:themeColor="accent1" w:themeShade="BF"/>
                <w:sz w:val="22"/>
              </w:rPr>
              <w:t>Our people</w:t>
            </w:r>
          </w:p>
          <w:p w14:paraId="472EF4C7" w14:textId="77777777" w:rsidR="00B8679B" w:rsidRDefault="0024317B" w:rsidP="008B7571">
            <w:pPr>
              <w:spacing w:before="120" w:after="120" w:line="259" w:lineRule="auto"/>
              <w:ind w:left="113" w:right="164"/>
              <w:jc w:val="both"/>
              <w:rPr>
                <w:szCs w:val="21"/>
              </w:rPr>
            </w:pPr>
            <w:r>
              <w:rPr>
                <w:szCs w:val="21"/>
              </w:rPr>
              <w:t xml:space="preserve">At the OIR we, improve </w:t>
            </w:r>
            <w:r w:rsidR="00FE46FF" w:rsidRPr="0002235C">
              <w:rPr>
                <w:szCs w:val="21"/>
              </w:rPr>
              <w:t>work health and safety in Queensland and help to reduce the risk of workers being killed or injured on the job</w:t>
            </w:r>
            <w:r w:rsidR="0002235C" w:rsidRPr="0002235C">
              <w:rPr>
                <w:szCs w:val="21"/>
              </w:rPr>
              <w:t xml:space="preserve">; </w:t>
            </w:r>
            <w:r w:rsidR="00FE46FF" w:rsidRPr="0002235C">
              <w:rPr>
                <w:szCs w:val="21"/>
              </w:rPr>
              <w:t>develop</w:t>
            </w:r>
            <w:r w:rsidR="00F8349F" w:rsidRPr="0002235C">
              <w:rPr>
                <w:szCs w:val="21"/>
              </w:rPr>
              <w:t xml:space="preserve"> </w:t>
            </w:r>
            <w:r w:rsidR="00FE46FF" w:rsidRPr="0002235C">
              <w:rPr>
                <w:szCs w:val="21"/>
              </w:rPr>
              <w:t>and enforce standards for electrical safety in Queensland</w:t>
            </w:r>
            <w:r w:rsidR="0002235C" w:rsidRPr="0002235C">
              <w:rPr>
                <w:szCs w:val="21"/>
              </w:rPr>
              <w:t xml:space="preserve">; </w:t>
            </w:r>
            <w:r w:rsidR="00FE46FF" w:rsidRPr="0002235C">
              <w:rPr>
                <w:szCs w:val="21"/>
              </w:rPr>
              <w:t>regulate workers’ compensation</w:t>
            </w:r>
            <w:r w:rsidR="00F8349F" w:rsidRPr="0002235C">
              <w:rPr>
                <w:szCs w:val="21"/>
              </w:rPr>
              <w:t>; and</w:t>
            </w:r>
            <w:r w:rsidR="0002235C" w:rsidRPr="0002235C">
              <w:rPr>
                <w:szCs w:val="21"/>
              </w:rPr>
              <w:t xml:space="preserve"> </w:t>
            </w:r>
            <w:r w:rsidR="00FE46FF" w:rsidRPr="0002235C">
              <w:rPr>
                <w:szCs w:val="21"/>
              </w:rPr>
              <w:t>support improved productivity and fairness in Queensland workplaces</w:t>
            </w:r>
            <w:r w:rsidR="0002235C" w:rsidRPr="0002235C">
              <w:rPr>
                <w:szCs w:val="21"/>
              </w:rPr>
              <w:t xml:space="preserve">. We also provide </w:t>
            </w:r>
            <w:r>
              <w:rPr>
                <w:szCs w:val="21"/>
              </w:rPr>
              <w:t xml:space="preserve">a range of </w:t>
            </w:r>
            <w:r w:rsidR="0002235C" w:rsidRPr="0002235C">
              <w:rPr>
                <w:szCs w:val="21"/>
              </w:rPr>
              <w:t>business and corporate services.</w:t>
            </w:r>
            <w:r w:rsidR="00B8679B">
              <w:rPr>
                <w:szCs w:val="21"/>
              </w:rPr>
              <w:t xml:space="preserve"> </w:t>
            </w:r>
          </w:p>
          <w:p w14:paraId="2E10616E" w14:textId="62E0050F" w:rsidR="00180C3D" w:rsidRPr="0002235C" w:rsidRDefault="0024317B" w:rsidP="008B7571">
            <w:pPr>
              <w:spacing w:before="120" w:after="120" w:line="259" w:lineRule="auto"/>
              <w:ind w:left="113" w:right="164"/>
              <w:jc w:val="both"/>
              <w:rPr>
                <w:color w:val="000000"/>
                <w:sz w:val="22"/>
              </w:rPr>
            </w:pPr>
            <w:r>
              <w:rPr>
                <w:szCs w:val="21"/>
              </w:rPr>
              <w:t xml:space="preserve">For more about the OIR go to </w:t>
            </w:r>
            <w:hyperlink r:id="rId13" w:history="1">
              <w:r w:rsidR="0002235C" w:rsidRPr="0002235C">
                <w:rPr>
                  <w:rStyle w:val="Hyperlink"/>
                  <w:sz w:val="21"/>
                  <w:szCs w:val="21"/>
                </w:rPr>
                <w:t>https://www.oir.qld.gov.au/</w:t>
              </w:r>
            </w:hyperlink>
          </w:p>
        </w:tc>
      </w:tr>
      <w:tr w:rsidR="00FE46FF" w:rsidRPr="00201676" w14:paraId="5031D72E" w14:textId="45767C65" w:rsidTr="00745CA1">
        <w:trPr>
          <w:trHeight w:val="787"/>
        </w:trPr>
        <w:tc>
          <w:tcPr>
            <w:tcW w:w="846" w:type="dxa"/>
            <w:shd w:val="clear" w:color="auto" w:fill="auto"/>
          </w:tcPr>
          <w:p w14:paraId="731FF4A7" w14:textId="77777777" w:rsidR="00FE46FF" w:rsidRDefault="00FE46FF" w:rsidP="0002235C">
            <w:pPr>
              <w:rPr>
                <w:b/>
                <w:bCs/>
                <w:sz w:val="18"/>
                <w:szCs w:val="18"/>
              </w:rPr>
            </w:pPr>
            <w:bookmarkStart w:id="0" w:name="_Hlk162452027"/>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4474" cy="394474"/>
                          </a:xfrm>
                          <a:prstGeom prst="rect">
                            <a:avLst/>
                          </a:prstGeom>
                        </pic:spPr>
                      </pic:pic>
                    </a:graphicData>
                  </a:graphic>
                </wp:inline>
              </w:drawing>
            </w:r>
          </w:p>
          <w:p w14:paraId="0118A9CA" w14:textId="77777777" w:rsidR="00F16184" w:rsidRPr="000D7A82" w:rsidRDefault="00F16184" w:rsidP="0002235C">
            <w:pPr>
              <w:rPr>
                <w:b/>
                <w:bCs/>
                <w:sz w:val="18"/>
                <w:szCs w:val="18"/>
              </w:rPr>
            </w:pPr>
          </w:p>
        </w:tc>
        <w:tc>
          <w:tcPr>
            <w:tcW w:w="4857" w:type="dxa"/>
            <w:shd w:val="clear" w:color="auto" w:fill="auto"/>
          </w:tcPr>
          <w:p w14:paraId="2A365ADD" w14:textId="77777777" w:rsidR="00FE46FF" w:rsidRPr="00F40135" w:rsidRDefault="00FE46FF" w:rsidP="00F16184">
            <w:pPr>
              <w:rPr>
                <w:b/>
                <w:bCs/>
                <w:sz w:val="18"/>
                <w:szCs w:val="18"/>
              </w:rPr>
            </w:pPr>
            <w:r w:rsidRPr="00F40135">
              <w:rPr>
                <w:b/>
                <w:bCs/>
                <w:sz w:val="18"/>
                <w:szCs w:val="18"/>
              </w:rPr>
              <w:t>Salary per annum</w:t>
            </w:r>
          </w:p>
          <w:p w14:paraId="4E0DE934" w14:textId="08C139E6" w:rsidR="00482771" w:rsidRDefault="00482771" w:rsidP="00482771">
            <w:pPr>
              <w:rPr>
                <w:sz w:val="18"/>
                <w:szCs w:val="18"/>
              </w:rPr>
            </w:pPr>
            <w:r>
              <w:rPr>
                <w:sz w:val="18"/>
                <w:szCs w:val="18"/>
              </w:rPr>
              <w:t xml:space="preserve">$114, </w:t>
            </w:r>
            <w:r w:rsidR="001A7776">
              <w:rPr>
                <w:sz w:val="18"/>
                <w:szCs w:val="18"/>
              </w:rPr>
              <w:t>11</w:t>
            </w:r>
            <w:r>
              <w:rPr>
                <w:sz w:val="18"/>
                <w:szCs w:val="18"/>
              </w:rPr>
              <w:t xml:space="preserve">4 – </w:t>
            </w:r>
            <w:r w:rsidR="001A7776">
              <w:rPr>
                <w:sz w:val="18"/>
                <w:szCs w:val="18"/>
              </w:rPr>
              <w:t>$</w:t>
            </w:r>
            <w:r>
              <w:rPr>
                <w:sz w:val="18"/>
                <w:szCs w:val="18"/>
              </w:rPr>
              <w:t>121, 876</w:t>
            </w:r>
          </w:p>
          <w:p w14:paraId="35F32A7C" w14:textId="2F4D9305" w:rsidR="00F16184" w:rsidRPr="000D7A82" w:rsidRDefault="00FE46FF" w:rsidP="00482771">
            <w:pPr>
              <w:rPr>
                <w:sz w:val="18"/>
                <w:szCs w:val="18"/>
              </w:rPr>
            </w:pPr>
            <w:r w:rsidRPr="00F40135">
              <w:rPr>
                <w:sz w:val="18"/>
                <w:szCs w:val="18"/>
              </w:rPr>
              <w:t>*</w:t>
            </w:r>
            <w:proofErr w:type="gramStart"/>
            <w:r w:rsidRPr="00F40135">
              <w:rPr>
                <w:sz w:val="18"/>
                <w:szCs w:val="18"/>
              </w:rPr>
              <w:t>plus</w:t>
            </w:r>
            <w:proofErr w:type="gramEnd"/>
            <w:r w:rsidRPr="00F40135">
              <w:rPr>
                <w:sz w:val="18"/>
                <w:szCs w:val="18"/>
              </w:rPr>
              <w:t xml:space="preserve"> 12.75% superannuation contributions</w:t>
            </w:r>
          </w:p>
        </w:tc>
        <w:tc>
          <w:tcPr>
            <w:tcW w:w="4743" w:type="dxa"/>
            <w:vMerge/>
            <w:shd w:val="clear" w:color="auto" w:fill="CBD3ED"/>
          </w:tcPr>
          <w:p w14:paraId="6D8F1ACF" w14:textId="77777777" w:rsidR="00FE46FF" w:rsidRPr="00F40135" w:rsidRDefault="00FE46FF" w:rsidP="0002235C">
            <w:pPr>
              <w:rPr>
                <w:b/>
                <w:bCs/>
                <w:sz w:val="18"/>
                <w:szCs w:val="18"/>
              </w:rPr>
            </w:pPr>
          </w:p>
        </w:tc>
      </w:tr>
      <w:bookmarkEnd w:id="0"/>
      <w:tr w:rsidR="00FE46FF" w:rsidRPr="00201676" w14:paraId="05736C56" w14:textId="26047B86" w:rsidTr="00745CA1">
        <w:trPr>
          <w:trHeight w:val="787"/>
        </w:trPr>
        <w:tc>
          <w:tcPr>
            <w:tcW w:w="846" w:type="dxa"/>
            <w:shd w:val="clear" w:color="auto" w:fill="auto"/>
          </w:tcPr>
          <w:p w14:paraId="211201BC" w14:textId="77777777" w:rsidR="00FE46FF" w:rsidRDefault="00FE46FF" w:rsidP="0002235C">
            <w:pPr>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p w14:paraId="2318E3E4" w14:textId="23F5B0D2" w:rsidR="00F16184" w:rsidRPr="000D7A82" w:rsidRDefault="00F16184" w:rsidP="0002235C">
            <w:pPr>
              <w:rPr>
                <w:b/>
                <w:bCs/>
                <w:sz w:val="18"/>
                <w:szCs w:val="18"/>
              </w:rPr>
            </w:pPr>
          </w:p>
        </w:tc>
        <w:tc>
          <w:tcPr>
            <w:tcW w:w="4857" w:type="dxa"/>
            <w:shd w:val="clear" w:color="auto" w:fill="auto"/>
          </w:tcPr>
          <w:p w14:paraId="0CEB760D" w14:textId="77777777" w:rsidR="00FE46FF" w:rsidRPr="000D7A82" w:rsidRDefault="00FE46FF" w:rsidP="00F16184">
            <w:pPr>
              <w:rPr>
                <w:b/>
                <w:bCs/>
                <w:sz w:val="18"/>
                <w:szCs w:val="18"/>
              </w:rPr>
            </w:pPr>
            <w:r w:rsidRPr="000D7A82">
              <w:rPr>
                <w:b/>
                <w:bCs/>
                <w:sz w:val="18"/>
                <w:szCs w:val="18"/>
              </w:rPr>
              <w:t>Location</w:t>
            </w:r>
          </w:p>
          <w:p w14:paraId="401C8A7E" w14:textId="71D85084" w:rsidR="00FE46FF" w:rsidRPr="000D7A82" w:rsidRDefault="00730DB1" w:rsidP="00F16184">
            <w:pPr>
              <w:rPr>
                <w:sz w:val="18"/>
                <w:szCs w:val="18"/>
              </w:rPr>
            </w:pPr>
            <w:r>
              <w:rPr>
                <w:sz w:val="18"/>
                <w:szCs w:val="18"/>
              </w:rPr>
              <w:t>Mackay NCQ Region</w:t>
            </w:r>
          </w:p>
        </w:tc>
        <w:tc>
          <w:tcPr>
            <w:tcW w:w="4743" w:type="dxa"/>
            <w:vMerge/>
            <w:shd w:val="clear" w:color="auto" w:fill="CBD3ED"/>
          </w:tcPr>
          <w:p w14:paraId="15039521" w14:textId="77777777" w:rsidR="00FE46FF" w:rsidRPr="000D7A82" w:rsidRDefault="00FE46FF" w:rsidP="0002235C">
            <w:pPr>
              <w:rPr>
                <w:b/>
                <w:bCs/>
                <w:sz w:val="18"/>
                <w:szCs w:val="18"/>
              </w:rPr>
            </w:pPr>
          </w:p>
        </w:tc>
      </w:tr>
      <w:tr w:rsidR="00FE46FF" w:rsidRPr="00201676" w14:paraId="1EA197AD" w14:textId="457CD779" w:rsidTr="00745CA1">
        <w:trPr>
          <w:trHeight w:val="787"/>
        </w:trPr>
        <w:tc>
          <w:tcPr>
            <w:tcW w:w="846" w:type="dxa"/>
            <w:shd w:val="clear" w:color="auto" w:fill="auto"/>
          </w:tcPr>
          <w:p w14:paraId="0B8FE302" w14:textId="77777777" w:rsidR="00FE46FF" w:rsidRDefault="00FE46FF" w:rsidP="0002235C">
            <w:pPr>
              <w:rPr>
                <w:b/>
                <w:bCs/>
                <w:noProof/>
                <w:sz w:val="18"/>
                <w:szCs w:val="18"/>
              </w:rPr>
            </w:pPr>
            <w:bookmarkStart w:id="1" w:name="_Hlk162452039"/>
            <w:r w:rsidRPr="000D7A82">
              <w:rPr>
                <w:b/>
                <w:bCs/>
                <w:noProof/>
                <w:sz w:val="18"/>
                <w:szCs w:val="18"/>
              </w:rPr>
              <w:drawing>
                <wp:inline distT="0" distB="0" distL="0" distR="0" wp14:anchorId="4844575B" wp14:editId="00D82158">
                  <wp:extent cx="396815" cy="396815"/>
                  <wp:effectExtent l="0" t="0" r="3810" b="0"/>
                  <wp:docPr id="2" name="Graphic 2"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270" cy="400270"/>
                          </a:xfrm>
                          <a:prstGeom prst="rect">
                            <a:avLst/>
                          </a:prstGeom>
                        </pic:spPr>
                      </pic:pic>
                    </a:graphicData>
                  </a:graphic>
                </wp:inline>
              </w:drawing>
            </w:r>
          </w:p>
          <w:p w14:paraId="54282CD0" w14:textId="77777777" w:rsidR="00F16184" w:rsidRDefault="00F16184" w:rsidP="0002235C">
            <w:pPr>
              <w:rPr>
                <w:b/>
                <w:bCs/>
                <w:noProof/>
                <w:sz w:val="18"/>
                <w:szCs w:val="18"/>
              </w:rPr>
            </w:pPr>
          </w:p>
          <w:p w14:paraId="28EE51BF" w14:textId="11FA3EB5" w:rsidR="00F16184" w:rsidRPr="000D7A82" w:rsidRDefault="00F16184" w:rsidP="0002235C">
            <w:pPr>
              <w:rPr>
                <w:b/>
                <w:bCs/>
                <w:noProof/>
                <w:sz w:val="18"/>
                <w:szCs w:val="18"/>
              </w:rPr>
            </w:pPr>
          </w:p>
        </w:tc>
        <w:tc>
          <w:tcPr>
            <w:tcW w:w="4857" w:type="dxa"/>
            <w:shd w:val="clear" w:color="auto" w:fill="auto"/>
          </w:tcPr>
          <w:p w14:paraId="7E83D3EE" w14:textId="77777777" w:rsidR="00FE46FF" w:rsidRPr="000D7A82" w:rsidRDefault="00FE46FF" w:rsidP="00F16184">
            <w:pPr>
              <w:rPr>
                <w:b/>
                <w:bCs/>
                <w:sz w:val="18"/>
                <w:szCs w:val="18"/>
              </w:rPr>
            </w:pPr>
            <w:r w:rsidRPr="000D7A82">
              <w:rPr>
                <w:b/>
                <w:bCs/>
                <w:sz w:val="18"/>
                <w:szCs w:val="18"/>
              </w:rPr>
              <w:t>Contact</w:t>
            </w:r>
          </w:p>
          <w:p w14:paraId="45B5D5BA" w14:textId="2A91658C" w:rsidR="00C7427D" w:rsidRPr="002776FD" w:rsidRDefault="00947506" w:rsidP="00C7427D">
            <w:pPr>
              <w:rPr>
                <w:sz w:val="18"/>
                <w:szCs w:val="18"/>
              </w:rPr>
            </w:pPr>
            <w:r>
              <w:rPr>
                <w:sz w:val="18"/>
                <w:szCs w:val="18"/>
              </w:rPr>
              <w:t>Teresa Wallace A</w:t>
            </w:r>
            <w:r w:rsidR="008F7BF1">
              <w:rPr>
                <w:sz w:val="18"/>
                <w:szCs w:val="18"/>
              </w:rPr>
              <w:t>cting</w:t>
            </w:r>
            <w:r w:rsidR="00730DB1" w:rsidRPr="002776FD">
              <w:rPr>
                <w:sz w:val="18"/>
                <w:szCs w:val="18"/>
              </w:rPr>
              <w:t xml:space="preserve"> </w:t>
            </w:r>
            <w:r w:rsidR="002776FD" w:rsidRPr="002776FD">
              <w:rPr>
                <w:sz w:val="18"/>
                <w:szCs w:val="18"/>
              </w:rPr>
              <w:t xml:space="preserve">Investigations </w:t>
            </w:r>
            <w:r w:rsidR="00730DB1" w:rsidRPr="002776FD">
              <w:rPr>
                <w:sz w:val="18"/>
                <w:szCs w:val="18"/>
              </w:rPr>
              <w:t xml:space="preserve">Manager </w:t>
            </w:r>
          </w:p>
          <w:p w14:paraId="6BD52918" w14:textId="2C56575C" w:rsidR="00C7427D" w:rsidRPr="002776FD" w:rsidRDefault="00C7427D" w:rsidP="00C7427D">
            <w:pPr>
              <w:rPr>
                <w:sz w:val="18"/>
                <w:szCs w:val="18"/>
              </w:rPr>
            </w:pPr>
            <w:r w:rsidRPr="002776FD">
              <w:rPr>
                <w:sz w:val="18"/>
                <w:szCs w:val="18"/>
              </w:rPr>
              <w:t>Email</w:t>
            </w:r>
            <w:r w:rsidR="002776FD" w:rsidRPr="002776FD">
              <w:rPr>
                <w:sz w:val="18"/>
                <w:szCs w:val="18"/>
              </w:rPr>
              <w:t>:</w:t>
            </w:r>
            <w:r w:rsidRPr="002776FD">
              <w:rPr>
                <w:sz w:val="18"/>
                <w:szCs w:val="18"/>
              </w:rPr>
              <w:t xml:space="preserve"> </w:t>
            </w:r>
            <w:hyperlink r:id="rId20" w:history="1">
              <w:r w:rsidR="008F7BF1">
                <w:rPr>
                  <w:rStyle w:val="Hyperlink"/>
                  <w:rFonts w:cs="Arial"/>
                  <w:sz w:val="20"/>
                  <w:szCs w:val="20"/>
                  <w:lang w:eastAsia="en-AU"/>
                </w:rPr>
                <w:t>teresa.wallace@oir.qld.gov.au</w:t>
              </w:r>
            </w:hyperlink>
          </w:p>
          <w:p w14:paraId="59C2DF2E" w14:textId="2B5B4D59" w:rsidR="00FE46FF" w:rsidRPr="002776FD" w:rsidRDefault="00C7427D" w:rsidP="002776FD">
            <w:pPr>
              <w:spacing w:after="160" w:line="259" w:lineRule="auto"/>
              <w:rPr>
                <w:rFonts w:ascii="Calibri" w:hAnsi="Calibri"/>
                <w:sz w:val="20"/>
                <w:szCs w:val="20"/>
                <w14:ligatures w14:val="none"/>
              </w:rPr>
            </w:pPr>
            <w:r w:rsidRPr="002776FD">
              <w:rPr>
                <w:sz w:val="18"/>
                <w:szCs w:val="18"/>
              </w:rPr>
              <w:t>Phone</w:t>
            </w:r>
            <w:r w:rsidR="002776FD">
              <w:rPr>
                <w:sz w:val="18"/>
                <w:szCs w:val="18"/>
              </w:rPr>
              <w:t xml:space="preserve">: </w:t>
            </w:r>
            <w:r w:rsidR="008F7BF1">
              <w:rPr>
                <w:rFonts w:cs="Arial"/>
                <w:color w:val="000000"/>
                <w:sz w:val="20"/>
                <w:szCs w:val="20"/>
                <w:lang w:eastAsia="en-AU"/>
              </w:rPr>
              <w:t>0437 336 576</w:t>
            </w:r>
          </w:p>
        </w:tc>
        <w:tc>
          <w:tcPr>
            <w:tcW w:w="4743" w:type="dxa"/>
            <w:vMerge/>
            <w:shd w:val="clear" w:color="auto" w:fill="CBD3ED"/>
          </w:tcPr>
          <w:p w14:paraId="6163178B" w14:textId="77777777" w:rsidR="00FE46FF" w:rsidRPr="000D7A82" w:rsidRDefault="00FE46FF" w:rsidP="0002235C">
            <w:pPr>
              <w:rPr>
                <w:b/>
                <w:bCs/>
                <w:sz w:val="18"/>
                <w:szCs w:val="18"/>
              </w:rPr>
            </w:pPr>
          </w:p>
        </w:tc>
      </w:tr>
      <w:bookmarkEnd w:id="1"/>
      <w:tr w:rsidR="00FE46FF" w:rsidRPr="00201676" w14:paraId="01B8093F" w14:textId="318B207D" w:rsidTr="00745CA1">
        <w:trPr>
          <w:trHeight w:val="787"/>
        </w:trPr>
        <w:tc>
          <w:tcPr>
            <w:tcW w:w="846" w:type="dxa"/>
            <w:shd w:val="clear" w:color="auto" w:fill="auto"/>
          </w:tcPr>
          <w:p w14:paraId="0B4C15D0" w14:textId="77777777" w:rsidR="00FE46FF" w:rsidRDefault="00FE46FF" w:rsidP="0002235C">
            <w:pPr>
              <w:rPr>
                <w:b/>
                <w:bCs/>
                <w:noProof/>
                <w:sz w:val="18"/>
                <w:szCs w:val="18"/>
              </w:rPr>
            </w:pPr>
            <w:r w:rsidRPr="000D7A82">
              <w:rPr>
                <w:b/>
                <w:bCs/>
                <w:noProof/>
                <w:sz w:val="18"/>
                <w:szCs w:val="18"/>
              </w:rPr>
              <w:drawing>
                <wp:inline distT="0" distB="0" distL="0" distR="0" wp14:anchorId="0704E7EC" wp14:editId="62420832">
                  <wp:extent cx="396240" cy="396240"/>
                  <wp:effectExtent l="0" t="0" r="0" b="3810"/>
                  <wp:docPr id="3" name="Graphic 3"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615" cy="400615"/>
                          </a:xfrm>
                          <a:prstGeom prst="rect">
                            <a:avLst/>
                          </a:prstGeom>
                        </pic:spPr>
                      </pic:pic>
                    </a:graphicData>
                  </a:graphic>
                </wp:inline>
              </w:drawing>
            </w:r>
          </w:p>
          <w:p w14:paraId="3A88236B" w14:textId="4732E841" w:rsidR="00F16184" w:rsidRPr="000D7A82" w:rsidRDefault="00F16184" w:rsidP="0002235C">
            <w:pPr>
              <w:rPr>
                <w:b/>
                <w:bCs/>
                <w:noProof/>
                <w:sz w:val="18"/>
                <w:szCs w:val="18"/>
              </w:rPr>
            </w:pPr>
          </w:p>
        </w:tc>
        <w:tc>
          <w:tcPr>
            <w:tcW w:w="4857" w:type="dxa"/>
            <w:shd w:val="clear" w:color="auto" w:fill="auto"/>
          </w:tcPr>
          <w:p w14:paraId="1A416099" w14:textId="77777777" w:rsidR="00FE46FF" w:rsidRPr="00F40135" w:rsidRDefault="00FE46FF" w:rsidP="00F16184">
            <w:pPr>
              <w:rPr>
                <w:b/>
                <w:bCs/>
                <w:sz w:val="18"/>
                <w:szCs w:val="18"/>
              </w:rPr>
            </w:pPr>
            <w:r w:rsidRPr="00F40135">
              <w:rPr>
                <w:b/>
                <w:bCs/>
                <w:sz w:val="18"/>
                <w:szCs w:val="18"/>
              </w:rPr>
              <w:t>Job ad reference</w:t>
            </w:r>
          </w:p>
          <w:p w14:paraId="13C380FD" w14:textId="74A07695" w:rsidR="00FE46FF" w:rsidRPr="00482771" w:rsidRDefault="00482771" w:rsidP="00F16184">
            <w:pPr>
              <w:rPr>
                <w:sz w:val="18"/>
                <w:szCs w:val="18"/>
              </w:rPr>
            </w:pPr>
            <w:r w:rsidRPr="00482771">
              <w:rPr>
                <w:sz w:val="18"/>
                <w:szCs w:val="18"/>
              </w:rPr>
              <w:t>QLD/573679/24</w:t>
            </w:r>
          </w:p>
        </w:tc>
        <w:tc>
          <w:tcPr>
            <w:tcW w:w="4743" w:type="dxa"/>
            <w:vMerge/>
            <w:shd w:val="clear" w:color="auto" w:fill="CBD3ED"/>
          </w:tcPr>
          <w:p w14:paraId="416A31F4" w14:textId="77777777" w:rsidR="00FE46FF" w:rsidRPr="00F40135" w:rsidRDefault="00FE46FF" w:rsidP="0002235C">
            <w:pPr>
              <w:rPr>
                <w:b/>
                <w:bCs/>
                <w:sz w:val="18"/>
                <w:szCs w:val="18"/>
              </w:rPr>
            </w:pPr>
          </w:p>
        </w:tc>
      </w:tr>
      <w:tr w:rsidR="00FE46FF" w:rsidRPr="00201676" w14:paraId="0C13A252" w14:textId="220B2F9D" w:rsidTr="00745CA1">
        <w:trPr>
          <w:trHeight w:val="787"/>
        </w:trPr>
        <w:tc>
          <w:tcPr>
            <w:tcW w:w="846" w:type="dxa"/>
            <w:shd w:val="clear" w:color="auto" w:fill="auto"/>
          </w:tcPr>
          <w:p w14:paraId="320DF48A" w14:textId="77777777" w:rsidR="00FE46FF" w:rsidRDefault="00FE46FF" w:rsidP="0002235C">
            <w:pPr>
              <w:rPr>
                <w:b/>
                <w:bCs/>
                <w:noProof/>
                <w:sz w:val="18"/>
                <w:szCs w:val="18"/>
              </w:rPr>
            </w:pPr>
            <w:r w:rsidRPr="000D7A82">
              <w:rPr>
                <w:b/>
                <w:bCs/>
                <w:noProof/>
                <w:sz w:val="18"/>
                <w:szCs w:val="18"/>
              </w:rPr>
              <w:drawing>
                <wp:inline distT="0" distB="0" distL="0" distR="0" wp14:anchorId="3AF38BD3" wp14:editId="2C47EC07">
                  <wp:extent cx="396815" cy="396815"/>
                  <wp:effectExtent l="0" t="0" r="0" b="0"/>
                  <wp:docPr id="4" name="Graphic 4"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03195" cy="403195"/>
                          </a:xfrm>
                          <a:prstGeom prst="rect">
                            <a:avLst/>
                          </a:prstGeom>
                        </pic:spPr>
                      </pic:pic>
                    </a:graphicData>
                  </a:graphic>
                </wp:inline>
              </w:drawing>
            </w:r>
          </w:p>
          <w:p w14:paraId="03CCB566" w14:textId="46B57919" w:rsidR="00F16184" w:rsidRPr="000D7A82" w:rsidRDefault="00F16184" w:rsidP="0002235C">
            <w:pPr>
              <w:rPr>
                <w:b/>
                <w:bCs/>
                <w:noProof/>
                <w:sz w:val="18"/>
                <w:szCs w:val="18"/>
              </w:rPr>
            </w:pPr>
          </w:p>
        </w:tc>
        <w:tc>
          <w:tcPr>
            <w:tcW w:w="4857" w:type="dxa"/>
            <w:shd w:val="clear" w:color="auto" w:fill="auto"/>
          </w:tcPr>
          <w:p w14:paraId="5E36A23B" w14:textId="77777777" w:rsidR="00FE46FF" w:rsidRPr="00F40135" w:rsidRDefault="00FE46FF" w:rsidP="00F16184">
            <w:pPr>
              <w:rPr>
                <w:b/>
                <w:bCs/>
                <w:sz w:val="18"/>
                <w:szCs w:val="18"/>
              </w:rPr>
            </w:pPr>
            <w:r w:rsidRPr="00F40135">
              <w:rPr>
                <w:b/>
                <w:bCs/>
                <w:sz w:val="18"/>
                <w:szCs w:val="18"/>
              </w:rPr>
              <w:t>Closing date</w:t>
            </w:r>
          </w:p>
          <w:p w14:paraId="5F57C492" w14:textId="36F3817D" w:rsidR="00FE46FF" w:rsidRPr="00482771" w:rsidRDefault="00482771" w:rsidP="00F16184">
            <w:pPr>
              <w:rPr>
                <w:sz w:val="18"/>
                <w:szCs w:val="18"/>
              </w:rPr>
            </w:pPr>
            <w:r w:rsidRPr="00482771">
              <w:rPr>
                <w:sz w:val="18"/>
                <w:szCs w:val="18"/>
              </w:rPr>
              <w:t>Monday 08 July 2024.</w:t>
            </w:r>
          </w:p>
        </w:tc>
        <w:tc>
          <w:tcPr>
            <w:tcW w:w="4743" w:type="dxa"/>
            <w:vMerge/>
            <w:shd w:val="clear" w:color="auto" w:fill="CBD3ED"/>
          </w:tcPr>
          <w:p w14:paraId="222E68F0" w14:textId="77777777" w:rsidR="00FE46FF" w:rsidRPr="00F40135" w:rsidRDefault="00FE46FF" w:rsidP="0002235C">
            <w:pPr>
              <w:rPr>
                <w:b/>
                <w:bCs/>
                <w:sz w:val="18"/>
                <w:szCs w:val="18"/>
              </w:rPr>
            </w:pPr>
          </w:p>
        </w:tc>
      </w:tr>
      <w:tr w:rsidR="00FE46FF" w:rsidRPr="00201676" w14:paraId="493897BD" w14:textId="697C7CED" w:rsidTr="00745CA1">
        <w:trPr>
          <w:trHeight w:val="659"/>
        </w:trPr>
        <w:tc>
          <w:tcPr>
            <w:tcW w:w="846" w:type="dxa"/>
            <w:shd w:val="clear" w:color="auto" w:fill="auto"/>
          </w:tcPr>
          <w:p w14:paraId="14A2C23B" w14:textId="77777777" w:rsidR="00FE46FF" w:rsidRDefault="00FE46FF" w:rsidP="0002235C">
            <w:pPr>
              <w:rPr>
                <w:b/>
                <w:bCs/>
                <w:noProof/>
                <w:sz w:val="18"/>
                <w:szCs w:val="18"/>
              </w:rPr>
            </w:pPr>
            <w:r w:rsidRPr="000D7A82">
              <w:rPr>
                <w:b/>
                <w:bCs/>
                <w:noProof/>
                <w:sz w:val="18"/>
                <w:szCs w:val="18"/>
              </w:rPr>
              <w:drawing>
                <wp:inline distT="0" distB="0" distL="0" distR="0" wp14:anchorId="015EFD3A" wp14:editId="34253B7D">
                  <wp:extent cx="387985" cy="387985"/>
                  <wp:effectExtent l="0" t="0" r="0" b="0"/>
                  <wp:docPr id="5" name="Graphic 5"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93236" cy="393236"/>
                          </a:xfrm>
                          <a:prstGeom prst="rect">
                            <a:avLst/>
                          </a:prstGeom>
                        </pic:spPr>
                      </pic:pic>
                    </a:graphicData>
                  </a:graphic>
                </wp:inline>
              </w:drawing>
            </w:r>
          </w:p>
          <w:p w14:paraId="6579D1B1" w14:textId="12A93B92" w:rsidR="00F16184" w:rsidRPr="000D7A82" w:rsidRDefault="00F16184" w:rsidP="0002235C">
            <w:pPr>
              <w:rPr>
                <w:b/>
                <w:bCs/>
                <w:noProof/>
                <w:sz w:val="18"/>
                <w:szCs w:val="18"/>
              </w:rPr>
            </w:pPr>
          </w:p>
        </w:tc>
        <w:tc>
          <w:tcPr>
            <w:tcW w:w="4857" w:type="dxa"/>
            <w:shd w:val="clear" w:color="auto" w:fill="auto"/>
          </w:tcPr>
          <w:p w14:paraId="0D6E6E90" w14:textId="0C7EB853" w:rsidR="002C488D" w:rsidRPr="00F40135" w:rsidRDefault="00FE46FF" w:rsidP="00F16184">
            <w:pPr>
              <w:rPr>
                <w:b/>
                <w:bCs/>
                <w:sz w:val="18"/>
                <w:szCs w:val="18"/>
              </w:rPr>
            </w:pPr>
            <w:r w:rsidRPr="000D7A82">
              <w:rPr>
                <w:sz w:val="18"/>
                <w:szCs w:val="18"/>
              </w:rPr>
              <w:t>This role is open to all applicants</w:t>
            </w:r>
            <w:r w:rsidR="00F8349F">
              <w:rPr>
                <w:sz w:val="18"/>
                <w:szCs w:val="18"/>
              </w:rPr>
              <w:t xml:space="preserve"> and we </w:t>
            </w:r>
            <w:r w:rsidRPr="000D7A82">
              <w:rPr>
                <w:sz w:val="18"/>
                <w:szCs w:val="18"/>
              </w:rPr>
              <w:t>encourage applications from people with</w:t>
            </w:r>
            <w:r w:rsidR="00F8349F">
              <w:rPr>
                <w:sz w:val="18"/>
                <w:szCs w:val="18"/>
              </w:rPr>
              <w:t xml:space="preserve"> </w:t>
            </w:r>
            <w:r w:rsidRPr="000D7A82">
              <w:rPr>
                <w:sz w:val="18"/>
                <w:szCs w:val="18"/>
              </w:rPr>
              <w:t>diverse backgrounds</w:t>
            </w:r>
            <w:r w:rsidR="00F8349F">
              <w:rPr>
                <w:sz w:val="18"/>
                <w:szCs w:val="18"/>
              </w:rPr>
              <w:t>.</w:t>
            </w:r>
          </w:p>
        </w:tc>
        <w:tc>
          <w:tcPr>
            <w:tcW w:w="4743" w:type="dxa"/>
            <w:vMerge/>
            <w:shd w:val="clear" w:color="auto" w:fill="CBD3ED"/>
          </w:tcPr>
          <w:p w14:paraId="67D183B6" w14:textId="77777777" w:rsidR="00FE46FF" w:rsidRPr="000D7A82" w:rsidRDefault="00FE46FF" w:rsidP="0002235C">
            <w:pPr>
              <w:rPr>
                <w:sz w:val="18"/>
                <w:szCs w:val="18"/>
              </w:rPr>
            </w:pPr>
          </w:p>
        </w:tc>
      </w:tr>
    </w:tbl>
    <w:p w14:paraId="5E194183" w14:textId="77777777" w:rsidR="005429BD" w:rsidRPr="0024413D" w:rsidRDefault="005429BD" w:rsidP="00BA473F">
      <w:pPr>
        <w:spacing w:before="120"/>
        <w:rPr>
          <w:sz w:val="28"/>
          <w:szCs w:val="28"/>
        </w:rPr>
      </w:pPr>
      <w:r w:rsidRPr="0024413D">
        <w:rPr>
          <w:sz w:val="28"/>
          <w:szCs w:val="28"/>
        </w:rPr>
        <w:t>What you can expect in this role</w:t>
      </w:r>
    </w:p>
    <w:p w14:paraId="39A195E5" w14:textId="77777777" w:rsidR="000E4672" w:rsidRDefault="000E4672" w:rsidP="000E4672">
      <w:r>
        <w:t>The Senior Investigator will be part of an efficient, flexible and responsive investigations team.  This role will investigate non-compliance with the work health and safety legislation and provide leadership and support services to inspectors.  This role is also responsible for ensuring that investigations meet requisite standards of quality, timeliness and efficiency and that investigative conduct is of the highest integrity.  The Senior Investigator reports directly to the Investigations Manager.</w:t>
      </w:r>
    </w:p>
    <w:p w14:paraId="24622334" w14:textId="2EBCDFBF" w:rsidR="00A44F03" w:rsidRDefault="000E4672" w:rsidP="000E4672">
      <w:r>
        <w:t>This position contributes to the recommendations from the Best Practice Review of Workplace Health and Safety Queensland</w:t>
      </w:r>
      <w:r w:rsidR="00A44F03">
        <w:t>.</w:t>
      </w:r>
    </w:p>
    <w:p w14:paraId="31A945B4" w14:textId="77777777" w:rsidR="00C7427D" w:rsidRPr="005E0773" w:rsidRDefault="00C7427D" w:rsidP="00C7427D">
      <w:r>
        <w:t xml:space="preserve">Key </w:t>
      </w:r>
      <w:r w:rsidRPr="005E0773">
        <w:t>responsibilities include</w:t>
      </w:r>
      <w:r>
        <w:t>:</w:t>
      </w:r>
    </w:p>
    <w:p w14:paraId="1CE927FA" w14:textId="77777777" w:rsidR="00A95699" w:rsidRPr="00B267B3" w:rsidRDefault="00A95699" w:rsidP="00A95699">
      <w:pPr>
        <w:pStyle w:val="Bulletpoints"/>
      </w:pPr>
      <w:bookmarkStart w:id="2" w:name="_Hlk162711411"/>
      <w:r w:rsidRPr="00B267B3">
        <w:t xml:space="preserve">Utilise the powers appointed to inspectors according to the Work Health and Safety Act 2011, Electrical Safety Act 2002, and Safety in Recreational Water Activities Act 2011, to assist the government in meeting the objectives of these Acts.  The powers afforded to Inspectors are wide ranging; Inspectors are held accountable for their use and are subject to internal and external </w:t>
      </w:r>
      <w:proofErr w:type="gramStart"/>
      <w:r w:rsidRPr="00B267B3">
        <w:t>scrutiny;</w:t>
      </w:r>
      <w:proofErr w:type="gramEnd"/>
      <w:r w:rsidRPr="00B267B3">
        <w:t xml:space="preserve"> </w:t>
      </w:r>
    </w:p>
    <w:p w14:paraId="37AF5359" w14:textId="77777777" w:rsidR="00A95699" w:rsidRPr="00B267B3" w:rsidRDefault="00A95699" w:rsidP="00A95699">
      <w:pPr>
        <w:pStyle w:val="Bulletpoints"/>
      </w:pPr>
      <w:r w:rsidRPr="00B267B3">
        <w:t xml:space="preserve">Undertake physical tasks at workplaces to discharge inspector powers and functions and to effectively conduct inspectorate or investigative </w:t>
      </w:r>
      <w:proofErr w:type="gramStart"/>
      <w:r w:rsidRPr="00B267B3">
        <w:t>activity;</w:t>
      </w:r>
      <w:proofErr w:type="gramEnd"/>
    </w:p>
    <w:p w14:paraId="5C1D59A4" w14:textId="77777777" w:rsidR="00A95699" w:rsidRPr="00B267B3" w:rsidRDefault="00A95699" w:rsidP="00A95699">
      <w:pPr>
        <w:pStyle w:val="Bulletpoints"/>
      </w:pPr>
      <w:r w:rsidRPr="00B267B3">
        <w:t xml:space="preserve">Assess information against evidentiary requirements of the workplace health and safety legislation in order to accurately inform the course of an investigation through the case management </w:t>
      </w:r>
      <w:proofErr w:type="gramStart"/>
      <w:r w:rsidRPr="00B267B3">
        <w:t>process;</w:t>
      </w:r>
      <w:proofErr w:type="gramEnd"/>
    </w:p>
    <w:p w14:paraId="6D04E063" w14:textId="77777777" w:rsidR="00A95699" w:rsidRPr="00B267B3" w:rsidRDefault="00A95699" w:rsidP="00A95699">
      <w:pPr>
        <w:pStyle w:val="Bulletpoints"/>
      </w:pPr>
      <w:r w:rsidRPr="00B267B3">
        <w:lastRenderedPageBreak/>
        <w:t xml:space="preserve">Lead the case management of investigations by planning investigations strategy, coordinate personnel and provide critical technical and evidential advice using collaborative decision-making processes and prepare high quality investigation and breach reports in accordance with WHSQ procedures and to the satisfaction of officers of the </w:t>
      </w:r>
      <w:proofErr w:type="gramStart"/>
      <w:r w:rsidRPr="00B267B3">
        <w:t>Court;</w:t>
      </w:r>
      <w:proofErr w:type="gramEnd"/>
    </w:p>
    <w:p w14:paraId="6F2120CF" w14:textId="77777777" w:rsidR="00A95699" w:rsidRPr="00B267B3" w:rsidRDefault="00A95699" w:rsidP="00A95699">
      <w:pPr>
        <w:pStyle w:val="Bulletpoints"/>
      </w:pPr>
      <w:r w:rsidRPr="00B267B3">
        <w:t xml:space="preserve">Represent WHSQ and give evidence on workplace health and safety matters heard before an Industrial Magistrate, the Industrial Court, Tribunal or </w:t>
      </w:r>
      <w:proofErr w:type="gramStart"/>
      <w:r w:rsidRPr="00B267B3">
        <w:t>Coroner;</w:t>
      </w:r>
      <w:proofErr w:type="gramEnd"/>
    </w:p>
    <w:p w14:paraId="64F4A64C" w14:textId="77777777" w:rsidR="00A95699" w:rsidRPr="00B267B3" w:rsidRDefault="00A95699" w:rsidP="00A95699">
      <w:pPr>
        <w:pStyle w:val="Bulletpoints"/>
      </w:pPr>
      <w:r w:rsidRPr="00B267B3">
        <w:t xml:space="preserve">Develop and maintain effective relationships and strategic networks with internal and external stakeholders, client groups, duty holders and industry leaders to share information, identify on-going and emerging and issues and trends, and provide high level advice to the Investigations </w:t>
      </w:r>
      <w:proofErr w:type="gramStart"/>
      <w:r w:rsidRPr="00B267B3">
        <w:t>Manager;</w:t>
      </w:r>
      <w:proofErr w:type="gramEnd"/>
    </w:p>
    <w:p w14:paraId="189CB09E" w14:textId="77777777" w:rsidR="00A95699" w:rsidRPr="00B267B3" w:rsidRDefault="00A95699" w:rsidP="00A95699">
      <w:pPr>
        <w:pStyle w:val="Bulletpoints"/>
      </w:pPr>
      <w:r w:rsidRPr="00B267B3">
        <w:t xml:space="preserve">Maintain the knowledge and skills necessary to demonstrate continuing high level and contemporary performance by actively participating in the professional development opportunities offered to investigators as part of their performance and development </w:t>
      </w:r>
      <w:proofErr w:type="gramStart"/>
      <w:r w:rsidRPr="00B267B3">
        <w:t>plans;</w:t>
      </w:r>
      <w:proofErr w:type="gramEnd"/>
    </w:p>
    <w:p w14:paraId="4E304C4E" w14:textId="77777777" w:rsidR="00A95699" w:rsidRPr="00B267B3" w:rsidRDefault="00A95699" w:rsidP="00A95699">
      <w:pPr>
        <w:pStyle w:val="Bulletpoints"/>
      </w:pPr>
      <w:r w:rsidRPr="00B267B3">
        <w:t xml:space="preserve">Stimulate innovation and team learning by taking a mentoring and coaching approach and by taking an active role in the development and delivery of investigations training for </w:t>
      </w:r>
      <w:proofErr w:type="gramStart"/>
      <w:r w:rsidRPr="00B267B3">
        <w:t>inspectors;</w:t>
      </w:r>
      <w:proofErr w:type="gramEnd"/>
    </w:p>
    <w:p w14:paraId="2DEC1AF0" w14:textId="77777777" w:rsidR="00A95699" w:rsidRPr="00B267B3" w:rsidRDefault="00A95699" w:rsidP="00A95699">
      <w:pPr>
        <w:pStyle w:val="Bulletpoints"/>
      </w:pPr>
      <w:r w:rsidRPr="00B267B3">
        <w:t>Actively participate in building relationships, sharing information and promoting cooperation across all government agencies; and</w:t>
      </w:r>
    </w:p>
    <w:p w14:paraId="4A532238" w14:textId="3F2CD32B" w:rsidR="00F37CED" w:rsidRPr="00A95699" w:rsidRDefault="00A95699" w:rsidP="00A95699">
      <w:pPr>
        <w:pStyle w:val="Bulletpoints"/>
      </w:pPr>
      <w:r w:rsidRPr="00B267B3">
        <w:t>Model professional and ethical behaviour and act in accordance with the Queensland Public Service legislative framework and Code of Conduct</w:t>
      </w:r>
      <w:r>
        <w:t>.</w:t>
      </w:r>
    </w:p>
    <w:p w14:paraId="4D3531B6" w14:textId="359D6226" w:rsidR="006902DB" w:rsidRDefault="006902DB" w:rsidP="00295532">
      <w:pPr>
        <w:spacing w:after="0" w:line="240" w:lineRule="auto"/>
        <w:rPr>
          <w:rFonts w:cs="Arial"/>
          <w:szCs w:val="21"/>
        </w:rPr>
      </w:pPr>
      <w:bookmarkStart w:id="3" w:name="_Hlk160435093"/>
      <w:bookmarkEnd w:id="2"/>
      <w:r w:rsidRPr="00295532">
        <w:rPr>
          <w:rFonts w:cs="Arial"/>
          <w:szCs w:val="21"/>
        </w:rPr>
        <w:t xml:space="preserve">Our workforce needs to be </w:t>
      </w:r>
      <w:r w:rsidR="00A44F03">
        <w:rPr>
          <w:rFonts w:cs="Arial"/>
          <w:szCs w:val="21"/>
        </w:rPr>
        <w:t>able</w:t>
      </w:r>
      <w:r w:rsidRPr="00295532">
        <w:rPr>
          <w:rFonts w:cs="Arial"/>
          <w:szCs w:val="21"/>
        </w:rPr>
        <w:t xml:space="preserve"> to respond quickly to new and emerging priorities. You may be required to undertake alternative duties or work in alternative locations on a temporary or permanent basis to support service delivery.</w:t>
      </w:r>
    </w:p>
    <w:p w14:paraId="6DA5C5C0" w14:textId="77777777" w:rsidR="00A95699" w:rsidRDefault="00A95699" w:rsidP="00295532">
      <w:pPr>
        <w:spacing w:after="0" w:line="240" w:lineRule="auto"/>
        <w:rPr>
          <w:rFonts w:cs="Arial"/>
          <w:szCs w:val="21"/>
        </w:rPr>
      </w:pPr>
    </w:p>
    <w:p w14:paraId="172A4861" w14:textId="7B69CCB7" w:rsidR="00FF5EB0" w:rsidRDefault="00A44F03" w:rsidP="00FF5EB0">
      <w:pPr>
        <w:rPr>
          <w:rFonts w:cs="Arial"/>
          <w:szCs w:val="21"/>
        </w:rPr>
      </w:pPr>
      <w:r>
        <w:rPr>
          <w:rFonts w:cs="Arial"/>
          <w:szCs w:val="21"/>
        </w:rPr>
        <w:t xml:space="preserve">In this </w:t>
      </w:r>
      <w:r w:rsidR="00FF5EB0" w:rsidRPr="0014675A">
        <w:rPr>
          <w:rFonts w:cs="Arial"/>
          <w:szCs w:val="21"/>
        </w:rPr>
        <w:t xml:space="preserve">role </w:t>
      </w:r>
      <w:r>
        <w:rPr>
          <w:rFonts w:cs="Arial"/>
          <w:szCs w:val="21"/>
        </w:rPr>
        <w:t xml:space="preserve">you may be </w:t>
      </w:r>
      <w:r w:rsidR="00FF5EB0" w:rsidRPr="0014675A">
        <w:rPr>
          <w:rFonts w:cs="Arial"/>
          <w:szCs w:val="21"/>
        </w:rPr>
        <w:t>expose</w:t>
      </w:r>
      <w:r>
        <w:rPr>
          <w:rFonts w:cs="Arial"/>
          <w:szCs w:val="21"/>
        </w:rPr>
        <w:t>d</w:t>
      </w:r>
      <w:r w:rsidR="00FF5EB0" w:rsidRPr="0014675A">
        <w:rPr>
          <w:rFonts w:cs="Arial"/>
          <w:szCs w:val="21"/>
        </w:rPr>
        <w:t xml:space="preserve"> to confronting and distressing content and OIR will support </w:t>
      </w:r>
      <w:r w:rsidR="00FF5EB0">
        <w:rPr>
          <w:rFonts w:cs="Arial"/>
          <w:szCs w:val="21"/>
        </w:rPr>
        <w:t xml:space="preserve">you </w:t>
      </w:r>
      <w:r w:rsidR="00FF5EB0" w:rsidRPr="0014675A">
        <w:rPr>
          <w:rFonts w:cs="Arial"/>
          <w:szCs w:val="21"/>
        </w:rPr>
        <w:t xml:space="preserve">with relevant professional supervision and access to </w:t>
      </w:r>
      <w:r w:rsidR="00FF5EB0">
        <w:rPr>
          <w:rFonts w:cs="Arial"/>
          <w:szCs w:val="21"/>
        </w:rPr>
        <w:t xml:space="preserve">our employee assistance program </w:t>
      </w:r>
      <w:r w:rsidR="00FF5EB0" w:rsidRPr="0014675A">
        <w:rPr>
          <w:rFonts w:cs="Arial"/>
          <w:szCs w:val="21"/>
        </w:rPr>
        <w:t>services to monitor vicarious trauma. Applicants should consider this context and their personal resilience and coping strategies for longevity in the position.</w:t>
      </w:r>
    </w:p>
    <w:bookmarkEnd w:id="3"/>
    <w:p w14:paraId="7FD80484" w14:textId="77777777" w:rsidR="005429BD" w:rsidRPr="00027035" w:rsidRDefault="005429BD" w:rsidP="00BA473F">
      <w:pPr>
        <w:spacing w:before="120"/>
        <w:rPr>
          <w:sz w:val="28"/>
          <w:szCs w:val="28"/>
        </w:rPr>
      </w:pPr>
      <w:r w:rsidRPr="00027035">
        <w:rPr>
          <w:sz w:val="28"/>
          <w:szCs w:val="28"/>
        </w:rPr>
        <w:t xml:space="preserve">What we are looking for </w:t>
      </w:r>
    </w:p>
    <w:p w14:paraId="1D323317" w14:textId="7A149FBB" w:rsidR="00811F17" w:rsidRDefault="00255758" w:rsidP="0002235C">
      <w:r>
        <w:t xml:space="preserve">We will confirm </w:t>
      </w:r>
      <w:r w:rsidR="00EC0262">
        <w:t xml:space="preserve">your eligibility and suitability for this role by considering your </w:t>
      </w:r>
      <w:r w:rsidR="00A12BD3">
        <w:t>abilities, aptitude, skills, qualifications, knowledge, experience and personal qualities</w:t>
      </w:r>
      <w:r w:rsidR="00EC0262">
        <w:t xml:space="preserve">. We’ll also </w:t>
      </w:r>
      <w:r w:rsidR="00705E3A">
        <w:t xml:space="preserve">consider the way you have carried out previous employment, </w:t>
      </w:r>
      <w:r w:rsidR="008F767F">
        <w:t xml:space="preserve">your </w:t>
      </w:r>
      <w:r w:rsidR="00705E3A">
        <w:t xml:space="preserve">potential </w:t>
      </w:r>
      <w:r w:rsidR="008F767F">
        <w:t xml:space="preserve">for future </w:t>
      </w:r>
      <w:r w:rsidR="00705E3A">
        <w:t xml:space="preserve">contribution </w:t>
      </w:r>
      <w:r w:rsidR="00EC0262">
        <w:t xml:space="preserve">and how you </w:t>
      </w:r>
      <w:r w:rsidR="008F767F">
        <w:t xml:space="preserve">could enhance </w:t>
      </w:r>
      <w:r w:rsidR="00705E3A">
        <w:t>equity, diversity, respect and inclusion</w:t>
      </w:r>
      <w:r w:rsidR="00EC0262">
        <w:t xml:space="preserve"> </w:t>
      </w:r>
      <w:r w:rsidR="008F767F">
        <w:t>at the OIR.</w:t>
      </w:r>
    </w:p>
    <w:tbl>
      <w:tblPr>
        <w:tblStyle w:val="TableGrid"/>
        <w:tblW w:w="104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1"/>
        <w:gridCol w:w="8789"/>
      </w:tblGrid>
      <w:tr w:rsidR="0093745A" w:rsidRPr="0093745A" w14:paraId="699A93A0" w14:textId="77777777" w:rsidTr="00FF1CBE">
        <w:trPr>
          <w:trHeight w:val="689"/>
        </w:trPr>
        <w:tc>
          <w:tcPr>
            <w:tcW w:w="1701" w:type="dxa"/>
            <w:shd w:val="clear" w:color="auto" w:fill="auto"/>
          </w:tcPr>
          <w:p w14:paraId="29DECC01" w14:textId="77777777" w:rsidR="0093745A" w:rsidRPr="0093745A" w:rsidRDefault="0093745A" w:rsidP="0002235C">
            <w:pPr>
              <w:spacing w:before="120" w:after="120"/>
            </w:pPr>
            <w:r w:rsidRPr="0093745A">
              <w:t>Mandatory qualifications or conditions</w:t>
            </w:r>
          </w:p>
        </w:tc>
        <w:tc>
          <w:tcPr>
            <w:tcW w:w="8789" w:type="dxa"/>
            <w:shd w:val="clear" w:color="auto" w:fill="auto"/>
          </w:tcPr>
          <w:p w14:paraId="6E45AFEC"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A Diploma of Government (Investigation), or equivalent, must be held at the time of </w:t>
            </w:r>
            <w:proofErr w:type="gramStart"/>
            <w:r w:rsidRPr="00B65D56">
              <w:rPr>
                <w:rFonts w:ascii="Arial" w:eastAsiaTheme="minorHAnsi" w:hAnsi="Arial" w:cs="Arial"/>
              </w:rPr>
              <w:t>application;</w:t>
            </w:r>
            <w:proofErr w:type="gramEnd"/>
          </w:p>
          <w:p w14:paraId="027AF3A3"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Whilst not mandatory an Advanced Diploma of Government (Workplace inspection/Investigations/Fraud control) or equivalent, or a higher degree qualification in a relevant discipline (</w:t>
            </w:r>
            <w:proofErr w:type="gramStart"/>
            <w:r w:rsidRPr="00B65D56">
              <w:rPr>
                <w:rFonts w:ascii="Arial" w:eastAsiaTheme="minorHAnsi" w:hAnsi="Arial" w:cs="Arial"/>
              </w:rPr>
              <w:t>e.g.</w:t>
            </w:r>
            <w:proofErr w:type="gramEnd"/>
            <w:r w:rsidRPr="00B65D56">
              <w:rPr>
                <w:rFonts w:ascii="Arial" w:eastAsiaTheme="minorHAnsi" w:hAnsi="Arial" w:cs="Arial"/>
              </w:rPr>
              <w:t xml:space="preserve"> law, justice administration, criminology) is highly desirable;</w:t>
            </w:r>
          </w:p>
          <w:p w14:paraId="41E17447"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Previous experience in a role with significant health and safety responsibilities is </w:t>
            </w:r>
            <w:proofErr w:type="gramStart"/>
            <w:r w:rsidRPr="00B65D56">
              <w:rPr>
                <w:rFonts w:ascii="Arial" w:eastAsiaTheme="minorHAnsi" w:hAnsi="Arial" w:cs="Arial"/>
              </w:rPr>
              <w:t>required;</w:t>
            </w:r>
            <w:proofErr w:type="gramEnd"/>
          </w:p>
          <w:p w14:paraId="0136AD41"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Recommended applicants for this position will be asked to consent to a criminal record check. Please note that people with criminal records are not automatically barred from applying for this position. Each application will be considered on its </w:t>
            </w:r>
            <w:proofErr w:type="gramStart"/>
            <w:r w:rsidRPr="00B65D56">
              <w:rPr>
                <w:rFonts w:ascii="Arial" w:eastAsiaTheme="minorHAnsi" w:hAnsi="Arial" w:cs="Arial"/>
              </w:rPr>
              <w:t>merits;</w:t>
            </w:r>
            <w:proofErr w:type="gramEnd"/>
          </w:p>
          <w:p w14:paraId="29A1387C"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Recommended applicants, who are new to the inspector role, will be required to complete WHSQ’s new inspector induction program. Upon completion of the induction program, inspectors will be required to complete the Diploma of Government (Workplace Inspection) after undertaking a minimum of six months’ </w:t>
            </w:r>
            <w:proofErr w:type="gramStart"/>
            <w:r w:rsidRPr="00B65D56">
              <w:rPr>
                <w:rFonts w:ascii="Arial" w:eastAsiaTheme="minorHAnsi" w:hAnsi="Arial" w:cs="Arial"/>
              </w:rPr>
              <w:t>field based</w:t>
            </w:r>
            <w:proofErr w:type="gramEnd"/>
            <w:r w:rsidRPr="00B65D56">
              <w:rPr>
                <w:rFonts w:ascii="Arial" w:eastAsiaTheme="minorHAnsi" w:hAnsi="Arial" w:cs="Arial"/>
              </w:rPr>
              <w:t xml:space="preserve"> experience. A probation period of 6 months will </w:t>
            </w:r>
            <w:proofErr w:type="gramStart"/>
            <w:r w:rsidRPr="00B65D56">
              <w:rPr>
                <w:rFonts w:ascii="Arial" w:eastAsiaTheme="minorHAnsi" w:hAnsi="Arial" w:cs="Arial"/>
              </w:rPr>
              <w:t>apply;</w:t>
            </w:r>
            <w:proofErr w:type="gramEnd"/>
          </w:p>
          <w:p w14:paraId="2900A46C"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must maintain a current driver’s </w:t>
            </w:r>
            <w:proofErr w:type="gramStart"/>
            <w:r w:rsidRPr="00B65D56">
              <w:rPr>
                <w:rFonts w:ascii="Arial" w:eastAsiaTheme="minorHAnsi" w:hAnsi="Arial" w:cs="Arial"/>
              </w:rPr>
              <w:t>licence;</w:t>
            </w:r>
            <w:proofErr w:type="gramEnd"/>
          </w:p>
          <w:p w14:paraId="18B08B21"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must have the computer skills necessary to accurately and efficiently input and retrieve data on WHSQ’s event and investigations </w:t>
            </w:r>
            <w:proofErr w:type="gramStart"/>
            <w:r w:rsidRPr="00B65D56">
              <w:rPr>
                <w:rFonts w:ascii="Arial" w:eastAsiaTheme="minorHAnsi" w:hAnsi="Arial" w:cs="Arial"/>
              </w:rPr>
              <w:t>databases;</w:t>
            </w:r>
            <w:proofErr w:type="gramEnd"/>
          </w:p>
          <w:p w14:paraId="47D6428C"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lastRenderedPageBreak/>
              <w:t xml:space="preserve">It is a genuine occupational requirement of this role that inspectors undertake field work and respond to incidents at workplaces across Queensland to discharge statutory roles and exercise statutory powers. This will involve circumstances including access to confined spaces, climbing ladders, accessing scaffolding, traversing building construction sites, climbing meat worker stands, collecting asbestos samples from rubble, rural and remote work in heat </w:t>
            </w:r>
            <w:proofErr w:type="gramStart"/>
            <w:r w:rsidRPr="00B65D56">
              <w:rPr>
                <w:rFonts w:ascii="Arial" w:eastAsiaTheme="minorHAnsi" w:hAnsi="Arial" w:cs="Arial"/>
              </w:rPr>
              <w:t>etc;</w:t>
            </w:r>
            <w:proofErr w:type="gramEnd"/>
          </w:p>
          <w:p w14:paraId="01C3D6FB"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may be required to inspect workplaces where there is a risk of exposure to pathogens. WHSQ will fund the immunisation of staff who may be exposed to these conditions as part of their role. Successful applicants will be required to provide formal consent for any immunisation that is </w:t>
            </w:r>
            <w:proofErr w:type="gramStart"/>
            <w:r w:rsidRPr="00B65D56">
              <w:rPr>
                <w:rFonts w:ascii="Arial" w:eastAsiaTheme="minorHAnsi" w:hAnsi="Arial" w:cs="Arial"/>
              </w:rPr>
              <w:t>provided;</w:t>
            </w:r>
            <w:proofErr w:type="gramEnd"/>
          </w:p>
          <w:p w14:paraId="511B1C5F"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may be required to attend workplace incidents where a death or serious injury has occurred.  As an inspector you will need to show sensitivity to the parties involved (e.g., the injured party, next of kin, relatives, workers, witnesses, and duty holders) while remaining impartial and emotionally </w:t>
            </w:r>
            <w:proofErr w:type="gramStart"/>
            <w:r w:rsidRPr="00B65D56">
              <w:rPr>
                <w:rFonts w:ascii="Arial" w:eastAsiaTheme="minorHAnsi" w:hAnsi="Arial" w:cs="Arial"/>
              </w:rPr>
              <w:t>unattached;</w:t>
            </w:r>
            <w:proofErr w:type="gramEnd"/>
          </w:p>
          <w:p w14:paraId="181C4368"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may be required to attend workplaces where a dispute is in progress.  As an inspector you will need to demonstrate well developed problem solving and dispute resolutions skills, while remaining resilient, impartial and emotionally </w:t>
            </w:r>
            <w:proofErr w:type="gramStart"/>
            <w:r w:rsidRPr="00B65D56">
              <w:rPr>
                <w:rFonts w:ascii="Arial" w:eastAsiaTheme="minorHAnsi" w:hAnsi="Arial" w:cs="Arial"/>
              </w:rPr>
              <w:t>unattached;</w:t>
            </w:r>
            <w:proofErr w:type="gramEnd"/>
            <w:r w:rsidRPr="00B65D56">
              <w:rPr>
                <w:rFonts w:ascii="Arial" w:eastAsiaTheme="minorHAnsi" w:hAnsi="Arial" w:cs="Arial"/>
              </w:rPr>
              <w:t xml:space="preserve"> </w:t>
            </w:r>
          </w:p>
          <w:p w14:paraId="0F529D90" w14:textId="77777777" w:rsidR="00D5539B" w:rsidRPr="00B65D56" w:rsidRDefault="00D5539B" w:rsidP="00B65D56">
            <w:pPr>
              <w:pStyle w:val="ListParagraph"/>
              <w:numPr>
                <w:ilvl w:val="0"/>
                <w:numId w:val="29"/>
              </w:numPr>
              <w:spacing w:before="120" w:after="120" w:line="240" w:lineRule="auto"/>
              <w:rPr>
                <w:rFonts w:ascii="Arial" w:eastAsiaTheme="minorHAnsi" w:hAnsi="Arial" w:cs="Arial"/>
              </w:rPr>
            </w:pPr>
            <w:r w:rsidRPr="00B65D56">
              <w:rPr>
                <w:rFonts w:ascii="Arial" w:eastAsiaTheme="minorHAnsi" w:hAnsi="Arial" w:cs="Arial"/>
              </w:rPr>
              <w:t xml:space="preserve">Inspectors will be required to participate in on-call and weekend roster work; and </w:t>
            </w:r>
          </w:p>
          <w:p w14:paraId="63450340" w14:textId="6F735A4D" w:rsidR="006A1AE3" w:rsidRPr="00B65D56" w:rsidRDefault="00D5539B" w:rsidP="00B65D56">
            <w:pPr>
              <w:pStyle w:val="ListParagraph"/>
              <w:numPr>
                <w:ilvl w:val="0"/>
                <w:numId w:val="29"/>
              </w:numPr>
              <w:spacing w:before="120" w:after="120" w:line="240" w:lineRule="auto"/>
              <w:rPr>
                <w:rFonts w:ascii="Arial" w:hAnsi="Arial" w:cs="Arial"/>
              </w:rPr>
            </w:pPr>
            <w:r w:rsidRPr="00B65D56">
              <w:rPr>
                <w:rFonts w:ascii="Arial" w:eastAsiaTheme="minorHAnsi" w:hAnsi="Arial" w:cs="Arial"/>
              </w:rPr>
              <w:t>From time to time, inspectors may be required to work from another office from which they were initially appointed</w:t>
            </w:r>
          </w:p>
        </w:tc>
      </w:tr>
      <w:tr w:rsidR="002C3B0A" w:rsidRPr="0093745A" w14:paraId="5B611B46" w14:textId="77777777" w:rsidTr="00FF1CBE">
        <w:trPr>
          <w:trHeight w:val="459"/>
        </w:trPr>
        <w:tc>
          <w:tcPr>
            <w:tcW w:w="1701" w:type="dxa"/>
            <w:shd w:val="clear" w:color="auto" w:fill="auto"/>
          </w:tcPr>
          <w:p w14:paraId="6A1E581C" w14:textId="35F6D59B" w:rsidR="002C3B0A" w:rsidRPr="0093745A" w:rsidRDefault="00B64231" w:rsidP="002C3B0A">
            <w:pPr>
              <w:spacing w:before="120" w:after="120"/>
            </w:pPr>
            <w:r>
              <w:lastRenderedPageBreak/>
              <w:t xml:space="preserve">Key </w:t>
            </w:r>
            <w:r w:rsidR="008953FD">
              <w:t>c</w:t>
            </w:r>
            <w:r w:rsidR="002C3B0A" w:rsidRPr="0093745A">
              <w:t>apabilities</w:t>
            </w:r>
          </w:p>
        </w:tc>
        <w:tc>
          <w:tcPr>
            <w:tcW w:w="8789" w:type="dxa"/>
            <w:shd w:val="clear" w:color="auto" w:fill="auto"/>
          </w:tcPr>
          <w:p w14:paraId="2F65DC32" w14:textId="77777777" w:rsidR="00A44F03" w:rsidRDefault="006D164E" w:rsidP="006D164E">
            <w:pPr>
              <w:pStyle w:val="Keycapabilities"/>
              <w:numPr>
                <w:ilvl w:val="0"/>
                <w:numId w:val="0"/>
              </w:numPr>
            </w:pPr>
            <w:bookmarkStart w:id="4" w:name="_Hlk162690169"/>
            <w:r>
              <w:t xml:space="preserve">Key </w:t>
            </w:r>
            <w:r w:rsidRPr="0075594C">
              <w:t xml:space="preserve">capabilities </w:t>
            </w:r>
            <w:r>
              <w:t xml:space="preserve">for this role are aligned with the OIR Capability Framework and </w:t>
            </w:r>
            <w:r w:rsidRPr="0075594C">
              <w:t xml:space="preserve">the </w:t>
            </w:r>
            <w:hyperlink r:id="rId27" w:history="1">
              <w:r w:rsidRPr="0075594C">
                <w:rPr>
                  <w:rStyle w:val="Hyperlink"/>
                </w:rPr>
                <w:t>Leadership competencies for Queensland</w:t>
              </w:r>
            </w:hyperlink>
            <w:r w:rsidRPr="0075594C">
              <w:t xml:space="preserve"> under the leadership stream</w:t>
            </w:r>
            <w:r w:rsidRPr="00B65D56">
              <w:t xml:space="preserve">: </w:t>
            </w:r>
            <w:sdt>
              <w:sdtPr>
                <w:alias w:val="Leadership stream"/>
                <w:tag w:val="Leadership stream"/>
                <w:id w:val="-1034873734"/>
                <w:placeholder>
                  <w:docPart w:val="068A27CCEDE44601B2456563D569602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Pr="00B65D56">
                  <w:t>Individual contributor</w:t>
                </w:r>
              </w:sdtContent>
            </w:sdt>
            <w:r w:rsidRPr="00B65D56">
              <w:t>.</w:t>
            </w:r>
            <w:r>
              <w:t xml:space="preserve"> </w:t>
            </w:r>
          </w:p>
          <w:p w14:paraId="15F8717E" w14:textId="77777777" w:rsidR="006D164E" w:rsidRDefault="006D164E" w:rsidP="006D164E">
            <w:pPr>
              <w:pStyle w:val="Keycapabilities"/>
              <w:numPr>
                <w:ilvl w:val="0"/>
                <w:numId w:val="0"/>
              </w:numPr>
              <w:rPr>
                <w:highlight w:val="yellow"/>
              </w:rPr>
            </w:pPr>
          </w:p>
          <w:p w14:paraId="1A45AFD7" w14:textId="6762C472" w:rsidR="006D164E" w:rsidRPr="002135C4" w:rsidRDefault="006D164E" w:rsidP="006D164E">
            <w:pPr>
              <w:pStyle w:val="Keycapabilities"/>
              <w:numPr>
                <w:ilvl w:val="0"/>
                <w:numId w:val="0"/>
              </w:numPr>
            </w:pPr>
            <w:r w:rsidRPr="002135C4">
              <w:t>Key capabilities for this role include:</w:t>
            </w:r>
          </w:p>
          <w:p w14:paraId="6A1A1BF4" w14:textId="77777777" w:rsidR="002135C4" w:rsidRDefault="002135C4" w:rsidP="002135C4">
            <w:pPr>
              <w:pStyle w:val="Keycapabilities"/>
              <w:numPr>
                <w:ilvl w:val="0"/>
                <w:numId w:val="25"/>
              </w:numPr>
            </w:pPr>
            <w:r>
              <w:t xml:space="preserve">Demonstrate your skills and experience leading successful investigations through the case management process, interpreting statutory obligations in the planning of investigative strategies, gathering evidence, and providing critical advice on investigations issues and legal </w:t>
            </w:r>
            <w:proofErr w:type="gramStart"/>
            <w:r>
              <w:t>matters;</w:t>
            </w:r>
            <w:proofErr w:type="gramEnd"/>
          </w:p>
          <w:p w14:paraId="06AF6145" w14:textId="77777777" w:rsidR="002135C4" w:rsidRDefault="002135C4" w:rsidP="002135C4">
            <w:pPr>
              <w:pStyle w:val="Keycapabilities"/>
              <w:numPr>
                <w:ilvl w:val="0"/>
                <w:numId w:val="25"/>
              </w:numPr>
            </w:pPr>
            <w:r>
              <w:t xml:space="preserve">Display flexibility, resilience and a commitment to maintaining a high level of performance, innovation, continuous improvement and best practice </w:t>
            </w:r>
            <w:proofErr w:type="gramStart"/>
            <w:r>
              <w:t>outcomes;</w:t>
            </w:r>
            <w:proofErr w:type="gramEnd"/>
          </w:p>
          <w:p w14:paraId="113350B0" w14:textId="77777777" w:rsidR="002135C4" w:rsidRDefault="002135C4" w:rsidP="002135C4">
            <w:pPr>
              <w:pStyle w:val="Keycapabilities"/>
              <w:numPr>
                <w:ilvl w:val="0"/>
                <w:numId w:val="25"/>
              </w:numPr>
            </w:pPr>
            <w:r>
              <w:t xml:space="preserve">Demonstrate knowledge and experience of court processes, rules of evidence and adherence to ethical standards of responsibility required by courts of law, with proven ability to analyse and review complex technical information, identify important issues and recommend appropriate action in respect of those </w:t>
            </w:r>
            <w:proofErr w:type="gramStart"/>
            <w:r>
              <w:t>issues;</w:t>
            </w:r>
            <w:proofErr w:type="gramEnd"/>
          </w:p>
          <w:p w14:paraId="78AB2163" w14:textId="77777777" w:rsidR="002135C4" w:rsidRDefault="002135C4" w:rsidP="002135C4">
            <w:pPr>
              <w:pStyle w:val="Keycapabilities"/>
              <w:numPr>
                <w:ilvl w:val="0"/>
                <w:numId w:val="25"/>
              </w:numPr>
            </w:pPr>
            <w:r>
              <w:t>Demonstrate effective interpersonal and presentation skills as evidenced by an ability to communicate with influence and to establish and maintain effective relationships with stakeholders, client groups, duty holders and industry leaders, to gather information and provide advice on contemporary and emerging investigation and enforcement matters to the Principal Investigator/ Investigations Manager; and</w:t>
            </w:r>
          </w:p>
          <w:p w14:paraId="29271519" w14:textId="582CCEAC" w:rsidR="008953FD" w:rsidRPr="009434FB" w:rsidRDefault="002135C4" w:rsidP="002135C4">
            <w:pPr>
              <w:pStyle w:val="Keycapabilities"/>
              <w:numPr>
                <w:ilvl w:val="0"/>
                <w:numId w:val="25"/>
              </w:numPr>
            </w:pPr>
            <w:r>
              <w:t>Demonstrate well-developed written skills as evidenced by a record of achievement in preparing substantial reports and prosecutions briefs in relation to complex investigations</w:t>
            </w:r>
            <w:bookmarkEnd w:id="4"/>
          </w:p>
        </w:tc>
      </w:tr>
    </w:tbl>
    <w:p w14:paraId="4EF6FA78" w14:textId="77777777" w:rsidR="00CA3A0E" w:rsidRPr="00027035" w:rsidRDefault="00811F17" w:rsidP="00BA473F">
      <w:pPr>
        <w:spacing w:before="120"/>
        <w:rPr>
          <w:sz w:val="28"/>
          <w:szCs w:val="28"/>
        </w:rPr>
      </w:pPr>
      <w:r w:rsidRPr="00027035">
        <w:rPr>
          <w:sz w:val="28"/>
          <w:szCs w:val="28"/>
        </w:rPr>
        <w:t xml:space="preserve">How to apply </w:t>
      </w:r>
    </w:p>
    <w:p w14:paraId="678A668D" w14:textId="47EB18BB" w:rsidR="0060790E" w:rsidRPr="00A44F03" w:rsidRDefault="00EC0262" w:rsidP="0002235C">
      <w:pPr>
        <w:rPr>
          <w:szCs w:val="21"/>
        </w:rPr>
      </w:pPr>
      <w:r w:rsidRPr="00A44F03">
        <w:rPr>
          <w:szCs w:val="21"/>
        </w:rPr>
        <w:t xml:space="preserve">Apply </w:t>
      </w:r>
      <w:r w:rsidR="00CA3A0E" w:rsidRPr="00A44F03">
        <w:rPr>
          <w:szCs w:val="21"/>
        </w:rPr>
        <w:t xml:space="preserve">online </w:t>
      </w:r>
      <w:r w:rsidRPr="00A44F03">
        <w:rPr>
          <w:szCs w:val="21"/>
        </w:rPr>
        <w:t xml:space="preserve">at </w:t>
      </w:r>
      <w:hyperlink r:id="rId28" w:history="1">
        <w:r w:rsidR="00CA3A0E" w:rsidRPr="00A44F03">
          <w:rPr>
            <w:rStyle w:val="Hyperlink"/>
            <w:sz w:val="21"/>
            <w:szCs w:val="21"/>
          </w:rPr>
          <w:t>www.smartjobs.qld.gov.au</w:t>
        </w:r>
      </w:hyperlink>
      <w:r w:rsidRPr="00A44F03">
        <w:rPr>
          <w:szCs w:val="21"/>
        </w:rPr>
        <w:t xml:space="preserve">. </w:t>
      </w:r>
      <w:r w:rsidR="0093745A" w:rsidRPr="00A44F03">
        <w:rPr>
          <w:szCs w:val="21"/>
        </w:rPr>
        <w:t>C</w:t>
      </w:r>
      <w:r w:rsidR="00CA3A0E" w:rsidRPr="00A44F03">
        <w:rPr>
          <w:szCs w:val="21"/>
        </w:rPr>
        <w:t>reate</w:t>
      </w:r>
      <w:r w:rsidR="0093745A" w:rsidRPr="00A44F03">
        <w:rPr>
          <w:szCs w:val="21"/>
        </w:rPr>
        <w:t xml:space="preserve"> </w:t>
      </w:r>
      <w:r w:rsidR="00CA3A0E" w:rsidRPr="00A44F03">
        <w:rPr>
          <w:szCs w:val="21"/>
        </w:rPr>
        <w:t xml:space="preserve">a ‘My SmartJob’ account </w:t>
      </w:r>
      <w:r w:rsidRPr="00A44F03">
        <w:rPr>
          <w:szCs w:val="21"/>
        </w:rPr>
        <w:t xml:space="preserve">to submit your application. </w:t>
      </w:r>
      <w:r w:rsidR="0060790E" w:rsidRPr="00A44F03">
        <w:rPr>
          <w:szCs w:val="21"/>
        </w:rPr>
        <w:t xml:space="preserve">Your application </w:t>
      </w:r>
      <w:r w:rsidR="0093745A" w:rsidRPr="00A44F03">
        <w:rPr>
          <w:szCs w:val="21"/>
        </w:rPr>
        <w:t xml:space="preserve">needs </w:t>
      </w:r>
      <w:r w:rsidR="00705E3A" w:rsidRPr="00A44F03">
        <w:rPr>
          <w:szCs w:val="21"/>
        </w:rPr>
        <w:t>to include:</w:t>
      </w:r>
    </w:p>
    <w:p w14:paraId="330313F3" w14:textId="3014AEF6" w:rsidR="00F9789F" w:rsidRPr="00614A63" w:rsidRDefault="0060790E" w:rsidP="00C7427D">
      <w:pPr>
        <w:pStyle w:val="Bulletpoints"/>
      </w:pPr>
      <w:r w:rsidRPr="00614A63">
        <w:t>your current resume, including</w:t>
      </w:r>
      <w:r w:rsidR="00EC0262" w:rsidRPr="00614A63">
        <w:t xml:space="preserve"> </w:t>
      </w:r>
      <w:r w:rsidRPr="00614A63">
        <w:t xml:space="preserve">contact details </w:t>
      </w:r>
      <w:r w:rsidR="00EC0262" w:rsidRPr="00614A63">
        <w:t xml:space="preserve">for </w:t>
      </w:r>
      <w:r w:rsidR="00705E3A" w:rsidRPr="00614A63">
        <w:t xml:space="preserve">at least one referee who has thorough knowledge of your conduct and performance </w:t>
      </w:r>
      <w:r w:rsidR="00EC0262" w:rsidRPr="00614A63">
        <w:t xml:space="preserve">within </w:t>
      </w:r>
      <w:r w:rsidR="00705E3A" w:rsidRPr="00614A63">
        <w:t>the past two years</w:t>
      </w:r>
    </w:p>
    <w:p w14:paraId="1821304A" w14:textId="4D694AF3" w:rsidR="0060790E" w:rsidRPr="00614A63" w:rsidRDefault="00705E3A" w:rsidP="00C7427D">
      <w:pPr>
        <w:pStyle w:val="Bulletpoints"/>
      </w:pPr>
      <w:r w:rsidRPr="00614A63">
        <w:t xml:space="preserve">a </w:t>
      </w:r>
      <w:r w:rsidR="0093745A" w:rsidRPr="00614A63">
        <w:t xml:space="preserve">letter or </w:t>
      </w:r>
      <w:r w:rsidR="0060790E" w:rsidRPr="00614A63">
        <w:t>statement (</w:t>
      </w:r>
      <w:r w:rsidR="0093745A" w:rsidRPr="00614A63">
        <w:t>one to two pages</w:t>
      </w:r>
      <w:r w:rsidR="0060790E" w:rsidRPr="00614A63">
        <w:t>)</w:t>
      </w:r>
      <w:r w:rsidR="0093745A" w:rsidRPr="00614A63">
        <w:t xml:space="preserve"> </w:t>
      </w:r>
      <w:r w:rsidR="00CA3A0E" w:rsidRPr="00614A63">
        <w:t xml:space="preserve">that </w:t>
      </w:r>
      <w:r w:rsidR="00EC0262" w:rsidRPr="00614A63">
        <w:t xml:space="preserve">addresses the </w:t>
      </w:r>
      <w:r w:rsidRPr="00614A63">
        <w:t>‘What are we looking for</w:t>
      </w:r>
      <w:r w:rsidR="0093745A" w:rsidRPr="00614A63">
        <w:t>’</w:t>
      </w:r>
      <w:r w:rsidR="00EC0262" w:rsidRPr="00614A63">
        <w:t xml:space="preserve"> section above.</w:t>
      </w:r>
    </w:p>
    <w:p w14:paraId="0637CBC0" w14:textId="0F020600" w:rsidR="00F16184" w:rsidRDefault="00C7427D" w:rsidP="0002235C">
      <w:r>
        <w:t xml:space="preserve">Enquiries </w:t>
      </w:r>
      <w:r w:rsidR="00B64231">
        <w:t xml:space="preserve">about </w:t>
      </w:r>
      <w:r w:rsidR="00EC0262">
        <w:t>culture</w:t>
      </w:r>
      <w:r w:rsidR="004A577C">
        <w:t>,</w:t>
      </w:r>
      <w:r w:rsidR="00EC0262">
        <w:t xml:space="preserve"> safety or reasonable adjustments</w:t>
      </w:r>
      <w:r>
        <w:t xml:space="preserve"> can be directed to the </w:t>
      </w:r>
      <w:r w:rsidR="00EC0262">
        <w:t xml:space="preserve">contact person for this role. For technical difficulties with submitting your application, contact </w:t>
      </w:r>
      <w:r w:rsidR="0060790E" w:rsidRPr="005D42EA">
        <w:t>13 QGOV (13 7468)</w:t>
      </w:r>
      <w:r>
        <w:t xml:space="preserve"> or phone </w:t>
      </w:r>
      <w:r w:rsidR="00EC0262">
        <w:t>OIR Human Resources on 07 3406 9943</w:t>
      </w:r>
      <w:r>
        <w:t>.</w:t>
      </w:r>
    </w:p>
    <w:p w14:paraId="37DBA0A7" w14:textId="334DC157" w:rsidR="0060790E" w:rsidRPr="005D42EA" w:rsidRDefault="00EC0262" w:rsidP="0002235C">
      <w:r>
        <w:t>Please allow enough time before the closing date to submit your application.</w:t>
      </w:r>
      <w:r w:rsidR="00180C3D">
        <w:t xml:space="preserve"> Requests for late applications </w:t>
      </w:r>
      <w:r w:rsidR="009F7A87">
        <w:t xml:space="preserve">are to be </w:t>
      </w:r>
      <w:r w:rsidR="00180C3D">
        <w:t xml:space="preserve">forwarded to the </w:t>
      </w:r>
      <w:r>
        <w:t>contact person</w:t>
      </w:r>
      <w:r w:rsidR="00180C3D">
        <w:t xml:space="preserve"> for consideration.</w:t>
      </w:r>
    </w:p>
    <w:p w14:paraId="460C4AD2" w14:textId="3814CC21" w:rsidR="00180C3D" w:rsidRDefault="00FF5EB0" w:rsidP="00FF5EB0">
      <w:r>
        <w:lastRenderedPageBreak/>
        <w:t>Please read OIR’s Applicant guide to learn more about the OIR</w:t>
      </w:r>
      <w:r w:rsidR="00FD1A36">
        <w:t xml:space="preserve"> and </w:t>
      </w:r>
      <w:r>
        <w:t>assist you to apply for a role</w:t>
      </w:r>
      <w:r w:rsidR="00FD1A36">
        <w:t xml:space="preserve">. To discuss your needs for cultural safety or reasonable adjustments </w:t>
      </w:r>
      <w:r w:rsidR="0083149E">
        <w:t xml:space="preserve">to help you </w:t>
      </w:r>
      <w:r>
        <w:t>participate in the recruitment and selection process</w:t>
      </w:r>
      <w:r w:rsidR="00FD1A36">
        <w:t>, please advise the contact person for this role.</w:t>
      </w:r>
    </w:p>
    <w:sectPr w:rsidR="00180C3D" w:rsidSect="00C73292">
      <w:footerReference w:type="even" r:id="rId29"/>
      <w:footerReference w:type="default" r:id="rId30"/>
      <w:headerReference w:type="first" r:id="rId31"/>
      <w:footerReference w:type="first" r:id="rId3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709D" w14:textId="77777777" w:rsidR="00EE2524" w:rsidRDefault="00EE2524" w:rsidP="0024413D">
      <w:pPr>
        <w:spacing w:after="0" w:line="240" w:lineRule="auto"/>
      </w:pPr>
      <w:r>
        <w:separator/>
      </w:r>
    </w:p>
  </w:endnote>
  <w:endnote w:type="continuationSeparator" w:id="0">
    <w:p w14:paraId="15E881FB" w14:textId="77777777" w:rsidR="00EE2524" w:rsidRDefault="00EE2524"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67FF92ED" w:rsidR="00C73292" w:rsidRDefault="00C73292" w:rsidP="006811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87B">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0F76DDD4" w:rsidR="00C73292" w:rsidRDefault="00DA645B" w:rsidP="00C73292">
    <w:pPr>
      <w:pStyle w:val="Footer"/>
      <w:ind w:right="360"/>
    </w:pPr>
    <w:r>
      <w:rPr>
        <w:noProof/>
      </w:rPr>
      <mc:AlternateContent>
        <mc:Choice Requires="wps">
          <w:drawing>
            <wp:anchor distT="4294967295" distB="4294967295" distL="114300" distR="114300" simplePos="0" relativeHeight="251661312" behindDoc="0" locked="0" layoutInCell="1" allowOverlap="1" wp14:anchorId="6FBA3B66" wp14:editId="04320F05">
              <wp:simplePos x="0" y="0"/>
              <wp:positionH relativeFrom="column">
                <wp:posOffset>22860</wp:posOffset>
              </wp:positionH>
              <wp:positionV relativeFrom="paragraph">
                <wp:posOffset>213994</wp:posOffset>
              </wp:positionV>
              <wp:extent cx="66141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156C0F"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3F89FA8" wp14:editId="44CBE6D2">
              <wp:simplePos x="0" y="0"/>
              <wp:positionH relativeFrom="column">
                <wp:posOffset>22860</wp:posOffset>
              </wp:positionH>
              <wp:positionV relativeFrom="paragraph">
                <wp:posOffset>221615</wp:posOffset>
              </wp:positionV>
              <wp:extent cx="6370320" cy="243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243840"/>
                      </a:xfrm>
                      <a:prstGeom prst="rect">
                        <a:avLst/>
                      </a:prstGeom>
                      <a:noFill/>
                      <a:ln w="6350">
                        <a:noFill/>
                      </a:ln>
                    </wps:spPr>
                    <wps:txbx>
                      <w:txbxContent>
                        <w:p w14:paraId="48DB941C" w14:textId="3A132ECD" w:rsidR="00C73292" w:rsidRPr="00BF7C29" w:rsidRDefault="005D7F96" w:rsidP="00BF7C29">
                          <w:pPr>
                            <w:pStyle w:val="Default"/>
                            <w:spacing w:after="40" w:line="200" w:lineRule="atLeast"/>
                            <w:rPr>
                              <w:i/>
                              <w:iCs/>
                              <w:color w:val="4472C4" w:themeColor="accent1"/>
                              <w:sz w:val="20"/>
                              <w:szCs w:val="20"/>
                            </w:rPr>
                          </w:pPr>
                          <w:r>
                            <w:rPr>
                              <w:i/>
                              <w:iCs/>
                              <w:color w:val="4472C4" w:themeColor="accent1"/>
                              <w:sz w:val="20"/>
                              <w:szCs w:val="20"/>
                            </w:rPr>
                            <w:t>Senior Investigator</w:t>
                          </w:r>
                          <w:r w:rsidR="009F7A87">
                            <w:rPr>
                              <w:i/>
                              <w:iCs/>
                              <w:color w:val="4472C4" w:themeColor="accent1"/>
                              <w:sz w:val="20"/>
                              <w:szCs w:val="20"/>
                            </w:rPr>
                            <w:t xml:space="preserve"> (</w:t>
                          </w:r>
                          <w:r>
                            <w:rPr>
                              <w:i/>
                              <w:iCs/>
                              <w:color w:val="4472C4" w:themeColor="accent1"/>
                              <w:sz w:val="20"/>
                              <w:szCs w:val="20"/>
                            </w:rPr>
                            <w:t>EAO6</w:t>
                          </w:r>
                          <w:r w:rsidR="009F7A87">
                            <w:rPr>
                              <w:i/>
                              <w:iCs/>
                              <w:color w:val="4472C4" w:themeColor="accent1"/>
                              <w:sz w:val="20"/>
                              <w:szCs w:val="20"/>
                            </w:rPr>
                            <w:t>), Team/Unit, Directorate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89FA8"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" filled="f" stroked="f" strokeweight=".5pt">
              <v:textbox inset="1mm,1mm,1mm,1mm">
                <w:txbxContent>
                  <w:p w14:paraId="48DB941C" w14:textId="3A132ECD" w:rsidR="00C73292" w:rsidRPr="00BF7C29" w:rsidRDefault="005D7F96" w:rsidP="00BF7C29">
                    <w:pPr>
                      <w:pStyle w:val="Default"/>
                      <w:spacing w:after="40" w:line="200" w:lineRule="atLeast"/>
                      <w:rPr>
                        <w:i/>
                        <w:iCs/>
                        <w:color w:val="4472C4" w:themeColor="accent1"/>
                        <w:sz w:val="20"/>
                        <w:szCs w:val="20"/>
                      </w:rPr>
                    </w:pPr>
                    <w:r>
                      <w:rPr>
                        <w:i/>
                        <w:iCs/>
                        <w:color w:val="4472C4" w:themeColor="accent1"/>
                        <w:sz w:val="20"/>
                        <w:szCs w:val="20"/>
                      </w:rPr>
                      <w:t>Senior Investigator</w:t>
                    </w:r>
                    <w:r w:rsidR="009F7A87">
                      <w:rPr>
                        <w:i/>
                        <w:iCs/>
                        <w:color w:val="4472C4" w:themeColor="accent1"/>
                        <w:sz w:val="20"/>
                        <w:szCs w:val="20"/>
                      </w:rPr>
                      <w:t xml:space="preserve"> (</w:t>
                    </w:r>
                    <w:r>
                      <w:rPr>
                        <w:i/>
                        <w:iCs/>
                        <w:color w:val="4472C4" w:themeColor="accent1"/>
                        <w:sz w:val="20"/>
                        <w:szCs w:val="20"/>
                      </w:rPr>
                      <w:t>EAO6</w:t>
                    </w:r>
                    <w:r w:rsidR="009F7A87">
                      <w:rPr>
                        <w:i/>
                        <w:iCs/>
                        <w:color w:val="4472C4" w:themeColor="accent1"/>
                        <w:sz w:val="20"/>
                        <w:szCs w:val="20"/>
                      </w:rPr>
                      <w:t>), Team/Unit, Directorate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0B7D" w14:textId="68CE5244" w:rsidR="007E3250" w:rsidRDefault="007E3250" w:rsidP="00C73292">
    <w:pPr>
      <w:pStyle w:val="Footer"/>
      <w:ind w:right="360"/>
    </w:pPr>
    <w:r>
      <w:rPr>
        <w:noProof/>
      </w:rPr>
      <w:drawing>
        <wp:anchor distT="0" distB="0" distL="114300" distR="114300" simplePos="0" relativeHeight="251662336" behindDoc="1" locked="0" layoutInCell="1" allowOverlap="1" wp14:anchorId="0A787B87" wp14:editId="4E36E3FA">
          <wp:simplePos x="0" y="0"/>
          <wp:positionH relativeFrom="page">
            <wp:align>left</wp:align>
          </wp:positionH>
          <wp:positionV relativeFrom="paragraph">
            <wp:posOffset>10160</wp:posOffset>
          </wp:positionV>
          <wp:extent cx="7563600" cy="1220400"/>
          <wp:effectExtent l="0" t="0" r="0" b="0"/>
          <wp:wrapNone/>
          <wp:docPr id="9" name="Picture 9"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p w14:paraId="0887014D" w14:textId="2BAE1CCA" w:rsidR="007E3250" w:rsidRDefault="007E3250" w:rsidP="00C73292">
    <w:pPr>
      <w:pStyle w:val="Footer"/>
      <w:ind w:right="360"/>
    </w:pPr>
  </w:p>
  <w:p w14:paraId="2B8E3EBB" w14:textId="0BF96F63" w:rsidR="007E3250" w:rsidRDefault="007E3250" w:rsidP="00C73292">
    <w:pPr>
      <w:pStyle w:val="Footer"/>
      <w:ind w:right="360"/>
    </w:pPr>
  </w:p>
  <w:p w14:paraId="017B5B26" w14:textId="77777777" w:rsidR="007E3250" w:rsidRDefault="007E3250" w:rsidP="00C73292">
    <w:pPr>
      <w:pStyle w:val="Footer"/>
      <w:ind w:right="360"/>
    </w:pPr>
  </w:p>
  <w:p w14:paraId="79486281" w14:textId="6286CF5F" w:rsidR="00C73292" w:rsidRDefault="00C73292" w:rsidP="00C73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B0E3" w14:textId="77777777" w:rsidR="00EE2524" w:rsidRDefault="00EE2524" w:rsidP="0024413D">
      <w:pPr>
        <w:spacing w:after="0" w:line="240" w:lineRule="auto"/>
      </w:pPr>
      <w:r>
        <w:separator/>
      </w:r>
    </w:p>
  </w:footnote>
  <w:footnote w:type="continuationSeparator" w:id="0">
    <w:p w14:paraId="0F36826E" w14:textId="77777777" w:rsidR="00EE2524" w:rsidRDefault="00EE2524"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EE23" w14:textId="68B1623C" w:rsidR="00D56EF4" w:rsidRDefault="00FE46FF" w:rsidP="00FE46FF">
    <w:pPr>
      <w:pStyle w:val="Default"/>
      <w:spacing w:before="120" w:after="120" w:line="260" w:lineRule="atLeast"/>
      <w:jc w:val="right"/>
      <w:rPr>
        <w:sz w:val="44"/>
        <w:szCs w:val="44"/>
      </w:rPr>
    </w:pPr>
    <w:r w:rsidRPr="00FE46FF">
      <w:rPr>
        <w:noProof/>
        <w:color w:val="FFFFFF" w:themeColor="background1"/>
      </w:rPr>
      <w:drawing>
        <wp:anchor distT="0" distB="0" distL="114300" distR="114300" simplePos="0" relativeHeight="251659264" behindDoc="1" locked="0" layoutInCell="1" allowOverlap="1" wp14:anchorId="5B2DF554" wp14:editId="6C95E373">
          <wp:simplePos x="0" y="0"/>
          <wp:positionH relativeFrom="page">
            <wp:align>left</wp:align>
          </wp:positionH>
          <wp:positionV relativeFrom="paragraph">
            <wp:posOffset>-446405</wp:posOffset>
          </wp:positionV>
          <wp:extent cx="7556500" cy="14351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B7C">
      <w:rPr>
        <w:color w:val="FFFFFF" w:themeColor="background1"/>
        <w:sz w:val="44"/>
        <w:szCs w:val="44"/>
      </w:rPr>
      <w:t>Senior Investigator</w:t>
    </w:r>
    <w:r w:rsidR="00C7427D">
      <w:rPr>
        <w:color w:val="FFFFFF" w:themeColor="background1"/>
        <w:sz w:val="44"/>
        <w:szCs w:val="44"/>
      </w:rPr>
      <w:t xml:space="preserve"> (</w:t>
    </w:r>
    <w:r w:rsidR="00412B7C">
      <w:rPr>
        <w:color w:val="FFFFFF" w:themeColor="background1"/>
        <w:sz w:val="44"/>
        <w:szCs w:val="44"/>
      </w:rPr>
      <w:t>EAO6</w:t>
    </w:r>
    <w:r w:rsidR="00F37CED">
      <w:rPr>
        <w:color w:val="FFFFFF" w:themeColor="background1"/>
        <w:sz w:val="44"/>
        <w:szCs w:val="44"/>
      </w:rPr>
      <w:t>)</w:t>
    </w:r>
  </w:p>
  <w:p w14:paraId="1BA0591C" w14:textId="77777777" w:rsidR="00FE46FF" w:rsidRDefault="00FE46FF" w:rsidP="00FE46FF">
    <w:pPr>
      <w:pStyle w:val="Default"/>
      <w:spacing w:before="120" w:after="120" w:line="260" w:lineRule="atLeast"/>
      <w:jc w:val="right"/>
    </w:pPr>
  </w:p>
  <w:p w14:paraId="70C20E11" w14:textId="1BA37680" w:rsidR="00C73292" w:rsidRDefault="00C73292">
    <w:pPr>
      <w:pStyle w:val="Header"/>
    </w:pPr>
  </w:p>
  <w:p w14:paraId="135BC5A2" w14:textId="77777777" w:rsidR="00EA561D" w:rsidRDefault="00EA5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819F6"/>
    <w:multiLevelType w:val="hybridMultilevel"/>
    <w:tmpl w:val="829C22BE"/>
    <w:lvl w:ilvl="0" w:tplc="344CD3EA">
      <w:start w:val="1"/>
      <w:numFmt w:val="bullet"/>
      <w:pStyle w:val="StyleBodycopyBold"/>
      <w:lvlText w:val=""/>
      <w:lvlJc w:val="left"/>
      <w:pPr>
        <w:tabs>
          <w:tab w:val="num" w:pos="181"/>
        </w:tabs>
        <w:ind w:left="181" w:hanging="360"/>
      </w:pPr>
      <w:rPr>
        <w:rFonts w:ascii="Symbol" w:hAnsi="Symbol" w:hint="default"/>
      </w:rPr>
    </w:lvl>
    <w:lvl w:ilvl="1" w:tplc="0C090003">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abstractNum w:abstractNumId="2" w15:restartNumberingAfterBreak="0">
    <w:nsid w:val="0F69691B"/>
    <w:multiLevelType w:val="hybridMultilevel"/>
    <w:tmpl w:val="ED74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45905"/>
    <w:multiLevelType w:val="hybridMultilevel"/>
    <w:tmpl w:val="5E8221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3204E"/>
    <w:multiLevelType w:val="hybridMultilevel"/>
    <w:tmpl w:val="E388750C"/>
    <w:lvl w:ilvl="0" w:tplc="D46E3AA8">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352687"/>
    <w:multiLevelType w:val="hybridMultilevel"/>
    <w:tmpl w:val="620CD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7A3E2B"/>
    <w:multiLevelType w:val="hybridMultilevel"/>
    <w:tmpl w:val="5D167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6700DD"/>
    <w:multiLevelType w:val="hybridMultilevel"/>
    <w:tmpl w:val="8CB2F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304E6"/>
    <w:multiLevelType w:val="hybridMultilevel"/>
    <w:tmpl w:val="584CF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BF74EC"/>
    <w:multiLevelType w:val="hybridMultilevel"/>
    <w:tmpl w:val="A01A91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3B580E"/>
    <w:multiLevelType w:val="hybridMultilevel"/>
    <w:tmpl w:val="BAEE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334A02"/>
    <w:multiLevelType w:val="hybridMultilevel"/>
    <w:tmpl w:val="D1D2DB56"/>
    <w:lvl w:ilvl="0" w:tplc="0C090001">
      <w:start w:val="1"/>
      <w:numFmt w:val="bullet"/>
      <w:lvlText w:val=""/>
      <w:lvlJc w:val="left"/>
      <w:pPr>
        <w:ind w:left="613" w:hanging="360"/>
      </w:pPr>
      <w:rPr>
        <w:rFonts w:ascii="Symbol" w:hAnsi="Symbol" w:hint="default"/>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19" w15:restartNumberingAfterBreak="0">
    <w:nsid w:val="5EEF4F67"/>
    <w:multiLevelType w:val="hybridMultilevel"/>
    <w:tmpl w:val="A334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F0AD0"/>
    <w:multiLevelType w:val="hybridMultilevel"/>
    <w:tmpl w:val="E1D8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76664"/>
    <w:multiLevelType w:val="hybridMultilevel"/>
    <w:tmpl w:val="BAA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D297D"/>
    <w:multiLevelType w:val="hybridMultilevel"/>
    <w:tmpl w:val="CBC4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7"/>
  </w:num>
  <w:num w:numId="2" w16cid:durableId="1039276750">
    <w:abstractNumId w:val="3"/>
  </w:num>
  <w:num w:numId="3" w16cid:durableId="1992171045">
    <w:abstractNumId w:val="16"/>
  </w:num>
  <w:num w:numId="4" w16cid:durableId="1105229608">
    <w:abstractNumId w:val="15"/>
  </w:num>
  <w:num w:numId="5" w16cid:durableId="46072774">
    <w:abstractNumId w:val="21"/>
  </w:num>
  <w:num w:numId="6" w16cid:durableId="1009336612">
    <w:abstractNumId w:val="12"/>
  </w:num>
  <w:num w:numId="7" w16cid:durableId="1583173733">
    <w:abstractNumId w:val="6"/>
  </w:num>
  <w:num w:numId="8" w16cid:durableId="1653873648">
    <w:abstractNumId w:val="0"/>
  </w:num>
  <w:num w:numId="9" w16cid:durableId="649942833">
    <w:abstractNumId w:val="27"/>
  </w:num>
  <w:num w:numId="10" w16cid:durableId="861556150">
    <w:abstractNumId w:val="4"/>
  </w:num>
  <w:num w:numId="11" w16cid:durableId="1811704691">
    <w:abstractNumId w:val="26"/>
  </w:num>
  <w:num w:numId="12" w16cid:durableId="906574163">
    <w:abstractNumId w:val="22"/>
  </w:num>
  <w:num w:numId="13" w16cid:durableId="1524435445">
    <w:abstractNumId w:val="11"/>
  </w:num>
  <w:num w:numId="14" w16cid:durableId="752238913">
    <w:abstractNumId w:val="13"/>
  </w:num>
  <w:num w:numId="15" w16cid:durableId="245845928">
    <w:abstractNumId w:val="22"/>
  </w:num>
  <w:num w:numId="16" w16cid:durableId="2007977400">
    <w:abstractNumId w:val="18"/>
  </w:num>
  <w:num w:numId="17" w16cid:durableId="145167003">
    <w:abstractNumId w:val="24"/>
  </w:num>
  <w:num w:numId="18" w16cid:durableId="1654025933">
    <w:abstractNumId w:val="25"/>
  </w:num>
  <w:num w:numId="19" w16cid:durableId="59180609">
    <w:abstractNumId w:val="9"/>
  </w:num>
  <w:num w:numId="20" w16cid:durableId="961040291">
    <w:abstractNumId w:val="1"/>
  </w:num>
  <w:num w:numId="21" w16cid:durableId="71893966">
    <w:abstractNumId w:val="14"/>
  </w:num>
  <w:num w:numId="22" w16cid:durableId="877813746">
    <w:abstractNumId w:val="2"/>
  </w:num>
  <w:num w:numId="23" w16cid:durableId="785153060">
    <w:abstractNumId w:val="17"/>
  </w:num>
  <w:num w:numId="24" w16cid:durableId="1842697866">
    <w:abstractNumId w:val="5"/>
  </w:num>
  <w:num w:numId="25" w16cid:durableId="2034186299">
    <w:abstractNumId w:val="19"/>
  </w:num>
  <w:num w:numId="26" w16cid:durableId="1844511440">
    <w:abstractNumId w:val="8"/>
  </w:num>
  <w:num w:numId="27" w16cid:durableId="589897260">
    <w:abstractNumId w:val="20"/>
  </w:num>
  <w:num w:numId="28" w16cid:durableId="1790969708">
    <w:abstractNumId w:val="23"/>
  </w:num>
  <w:num w:numId="29" w16cid:durableId="835530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235C"/>
    <w:rsid w:val="00027035"/>
    <w:rsid w:val="000870F0"/>
    <w:rsid w:val="000A0123"/>
    <w:rsid w:val="000A5359"/>
    <w:rsid w:val="000B5D16"/>
    <w:rsid w:val="000D7A82"/>
    <w:rsid w:val="000E4672"/>
    <w:rsid w:val="00106183"/>
    <w:rsid w:val="001071E0"/>
    <w:rsid w:val="0012685D"/>
    <w:rsid w:val="001361B3"/>
    <w:rsid w:val="00140BB9"/>
    <w:rsid w:val="00147650"/>
    <w:rsid w:val="0016273B"/>
    <w:rsid w:val="001708FD"/>
    <w:rsid w:val="00180C3D"/>
    <w:rsid w:val="001A770F"/>
    <w:rsid w:val="001A7776"/>
    <w:rsid w:val="00201676"/>
    <w:rsid w:val="002135C4"/>
    <w:rsid w:val="0024317B"/>
    <w:rsid w:val="0024413D"/>
    <w:rsid w:val="00244759"/>
    <w:rsid w:val="00244AEB"/>
    <w:rsid w:val="00255758"/>
    <w:rsid w:val="00262378"/>
    <w:rsid w:val="002776FD"/>
    <w:rsid w:val="00291428"/>
    <w:rsid w:val="00295532"/>
    <w:rsid w:val="002C3B0A"/>
    <w:rsid w:val="002C488D"/>
    <w:rsid w:val="002C7483"/>
    <w:rsid w:val="0030684B"/>
    <w:rsid w:val="00324415"/>
    <w:rsid w:val="003421D0"/>
    <w:rsid w:val="00370404"/>
    <w:rsid w:val="003B6832"/>
    <w:rsid w:val="003C3226"/>
    <w:rsid w:val="003C7E97"/>
    <w:rsid w:val="00406722"/>
    <w:rsid w:val="00412B7C"/>
    <w:rsid w:val="00415D20"/>
    <w:rsid w:val="00436933"/>
    <w:rsid w:val="00450761"/>
    <w:rsid w:val="00482771"/>
    <w:rsid w:val="004A577C"/>
    <w:rsid w:val="004A77D9"/>
    <w:rsid w:val="004C3DE8"/>
    <w:rsid w:val="005429BD"/>
    <w:rsid w:val="00554269"/>
    <w:rsid w:val="00571D9F"/>
    <w:rsid w:val="005740DA"/>
    <w:rsid w:val="005D42EA"/>
    <w:rsid w:val="005D7F96"/>
    <w:rsid w:val="005E0773"/>
    <w:rsid w:val="005E4BB8"/>
    <w:rsid w:val="005F538E"/>
    <w:rsid w:val="005F68B8"/>
    <w:rsid w:val="0060790E"/>
    <w:rsid w:val="00614A63"/>
    <w:rsid w:val="00641E50"/>
    <w:rsid w:val="006443E4"/>
    <w:rsid w:val="00681130"/>
    <w:rsid w:val="006902DB"/>
    <w:rsid w:val="0069337C"/>
    <w:rsid w:val="006A1AE3"/>
    <w:rsid w:val="006D164E"/>
    <w:rsid w:val="00701202"/>
    <w:rsid w:val="00705E3A"/>
    <w:rsid w:val="00712768"/>
    <w:rsid w:val="00730DB1"/>
    <w:rsid w:val="00745CA1"/>
    <w:rsid w:val="0075594C"/>
    <w:rsid w:val="00761EE8"/>
    <w:rsid w:val="00764B19"/>
    <w:rsid w:val="007B1895"/>
    <w:rsid w:val="007E3250"/>
    <w:rsid w:val="00801D17"/>
    <w:rsid w:val="00811F17"/>
    <w:rsid w:val="0083149E"/>
    <w:rsid w:val="0084599F"/>
    <w:rsid w:val="008512C4"/>
    <w:rsid w:val="00873F60"/>
    <w:rsid w:val="008953FD"/>
    <w:rsid w:val="008B7571"/>
    <w:rsid w:val="008D28FC"/>
    <w:rsid w:val="008F13A1"/>
    <w:rsid w:val="008F767F"/>
    <w:rsid w:val="008F7BF1"/>
    <w:rsid w:val="00907067"/>
    <w:rsid w:val="00914C33"/>
    <w:rsid w:val="0093745A"/>
    <w:rsid w:val="009434FB"/>
    <w:rsid w:val="00947506"/>
    <w:rsid w:val="009B7B8B"/>
    <w:rsid w:val="009D49F6"/>
    <w:rsid w:val="009D75AA"/>
    <w:rsid w:val="009F7A87"/>
    <w:rsid w:val="00A046C3"/>
    <w:rsid w:val="00A12BD3"/>
    <w:rsid w:val="00A44F03"/>
    <w:rsid w:val="00A729AD"/>
    <w:rsid w:val="00A755FF"/>
    <w:rsid w:val="00A87ECD"/>
    <w:rsid w:val="00A95699"/>
    <w:rsid w:val="00AC1E6D"/>
    <w:rsid w:val="00B013B3"/>
    <w:rsid w:val="00B04C76"/>
    <w:rsid w:val="00B11372"/>
    <w:rsid w:val="00B1287B"/>
    <w:rsid w:val="00B14187"/>
    <w:rsid w:val="00B1544F"/>
    <w:rsid w:val="00B15CC3"/>
    <w:rsid w:val="00B21A3C"/>
    <w:rsid w:val="00B561F3"/>
    <w:rsid w:val="00B64178"/>
    <w:rsid w:val="00B64231"/>
    <w:rsid w:val="00B65D56"/>
    <w:rsid w:val="00B8679B"/>
    <w:rsid w:val="00BA043C"/>
    <w:rsid w:val="00BA473F"/>
    <w:rsid w:val="00BB44EB"/>
    <w:rsid w:val="00BB5294"/>
    <w:rsid w:val="00BF7C29"/>
    <w:rsid w:val="00C02DAB"/>
    <w:rsid w:val="00C17B9B"/>
    <w:rsid w:val="00C238B0"/>
    <w:rsid w:val="00C23D97"/>
    <w:rsid w:val="00C529A1"/>
    <w:rsid w:val="00C6603E"/>
    <w:rsid w:val="00C73292"/>
    <w:rsid w:val="00C7427D"/>
    <w:rsid w:val="00CA3A0E"/>
    <w:rsid w:val="00CA4F5A"/>
    <w:rsid w:val="00CB5BDA"/>
    <w:rsid w:val="00CD15BF"/>
    <w:rsid w:val="00CE262F"/>
    <w:rsid w:val="00D34DF9"/>
    <w:rsid w:val="00D52234"/>
    <w:rsid w:val="00D5539B"/>
    <w:rsid w:val="00D56EF4"/>
    <w:rsid w:val="00D57F95"/>
    <w:rsid w:val="00D83608"/>
    <w:rsid w:val="00D837AA"/>
    <w:rsid w:val="00D97E63"/>
    <w:rsid w:val="00DA645B"/>
    <w:rsid w:val="00DC076B"/>
    <w:rsid w:val="00DC3F1B"/>
    <w:rsid w:val="00DC550F"/>
    <w:rsid w:val="00E10257"/>
    <w:rsid w:val="00E23B3A"/>
    <w:rsid w:val="00E25F97"/>
    <w:rsid w:val="00E3590F"/>
    <w:rsid w:val="00E41ADE"/>
    <w:rsid w:val="00E552BA"/>
    <w:rsid w:val="00E7346F"/>
    <w:rsid w:val="00E90056"/>
    <w:rsid w:val="00E943D8"/>
    <w:rsid w:val="00EA561D"/>
    <w:rsid w:val="00EC0262"/>
    <w:rsid w:val="00EE2524"/>
    <w:rsid w:val="00F16184"/>
    <w:rsid w:val="00F162EE"/>
    <w:rsid w:val="00F37CED"/>
    <w:rsid w:val="00F40135"/>
    <w:rsid w:val="00F51A05"/>
    <w:rsid w:val="00F8349F"/>
    <w:rsid w:val="00F9789F"/>
    <w:rsid w:val="00FC105E"/>
    <w:rsid w:val="00FD1A36"/>
    <w:rsid w:val="00FE46FF"/>
    <w:rsid w:val="00FF1CBE"/>
    <w:rsid w:val="00FF5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docId w15:val="{8C75206B-A653-4F19-B8B1-8631DF7D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FB"/>
    <w:rPr>
      <w:rFonts w:ascii="Arial" w:hAnsi="Arial"/>
      <w:kern w:val="0"/>
      <w:sz w:val="21"/>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rPr>
  </w:style>
  <w:style w:type="character" w:styleId="PageNumber">
    <w:name w:val="page number"/>
    <w:basedOn w:val="DefaultParagraphFont"/>
    <w:uiPriority w:val="99"/>
    <w:semiHidden/>
    <w:unhideWhenUsed/>
    <w:rsid w:val="00C73292"/>
  </w:style>
  <w:style w:type="character" w:styleId="PlaceholderText">
    <w:name w:val="Placeholder Text"/>
    <w:basedOn w:val="DefaultParagraphFont"/>
    <w:uiPriority w:val="51"/>
    <w:rsid w:val="006A1AE3"/>
    <w:rPr>
      <w:color w:val="808080"/>
    </w:rPr>
  </w:style>
  <w:style w:type="character" w:customStyle="1" w:styleId="ui-provider">
    <w:name w:val="ui-provider"/>
    <w:basedOn w:val="DefaultParagraphFont"/>
    <w:rsid w:val="00D837AA"/>
  </w:style>
  <w:style w:type="paragraph" w:styleId="Revision">
    <w:name w:val="Revision"/>
    <w:hidden/>
    <w:uiPriority w:val="99"/>
    <w:semiHidden/>
    <w:rsid w:val="00436933"/>
    <w:pPr>
      <w:spacing w:after="0" w:line="240" w:lineRule="auto"/>
    </w:pPr>
    <w:rPr>
      <w:rFonts w:ascii="Arial" w:hAnsi="Arial"/>
      <w:kern w:val="0"/>
      <w:sz w:val="20"/>
    </w:rPr>
  </w:style>
  <w:style w:type="character" w:styleId="CommentReference">
    <w:name w:val="annotation reference"/>
    <w:basedOn w:val="DefaultParagraphFont"/>
    <w:uiPriority w:val="99"/>
    <w:semiHidden/>
    <w:unhideWhenUsed/>
    <w:rsid w:val="00436933"/>
    <w:rPr>
      <w:sz w:val="16"/>
      <w:szCs w:val="16"/>
    </w:rPr>
  </w:style>
  <w:style w:type="paragraph" w:styleId="CommentText">
    <w:name w:val="annotation text"/>
    <w:basedOn w:val="Normal"/>
    <w:link w:val="CommentTextChar"/>
    <w:uiPriority w:val="99"/>
    <w:unhideWhenUsed/>
    <w:rsid w:val="00436933"/>
    <w:pPr>
      <w:spacing w:line="240" w:lineRule="auto"/>
    </w:pPr>
    <w:rPr>
      <w:szCs w:val="20"/>
    </w:rPr>
  </w:style>
  <w:style w:type="character" w:customStyle="1" w:styleId="CommentTextChar">
    <w:name w:val="Comment Text Char"/>
    <w:basedOn w:val="DefaultParagraphFont"/>
    <w:link w:val="CommentText"/>
    <w:uiPriority w:val="99"/>
    <w:rsid w:val="00436933"/>
    <w:rPr>
      <w:rFonts w:ascii="Arial" w:hAnsi="Arial"/>
      <w:kern w:val="0"/>
      <w:sz w:val="20"/>
      <w:szCs w:val="20"/>
    </w:rPr>
  </w:style>
  <w:style w:type="paragraph" w:styleId="CommentSubject">
    <w:name w:val="annotation subject"/>
    <w:basedOn w:val="CommentText"/>
    <w:next w:val="CommentText"/>
    <w:link w:val="CommentSubjectChar"/>
    <w:uiPriority w:val="99"/>
    <w:semiHidden/>
    <w:unhideWhenUsed/>
    <w:rsid w:val="00436933"/>
    <w:rPr>
      <w:b/>
      <w:bCs/>
    </w:rPr>
  </w:style>
  <w:style w:type="character" w:customStyle="1" w:styleId="CommentSubjectChar">
    <w:name w:val="Comment Subject Char"/>
    <w:basedOn w:val="CommentTextChar"/>
    <w:link w:val="CommentSubject"/>
    <w:uiPriority w:val="99"/>
    <w:semiHidden/>
    <w:rsid w:val="00436933"/>
    <w:rPr>
      <w:rFonts w:ascii="Arial" w:hAnsi="Arial"/>
      <w:b/>
      <w:bCs/>
      <w:kern w:val="0"/>
      <w:sz w:val="20"/>
      <w:szCs w:val="20"/>
    </w:rPr>
  </w:style>
  <w:style w:type="character" w:styleId="FollowedHyperlink">
    <w:name w:val="FollowedHyperlink"/>
    <w:basedOn w:val="DefaultParagraphFont"/>
    <w:uiPriority w:val="99"/>
    <w:semiHidden/>
    <w:unhideWhenUsed/>
    <w:rsid w:val="002C3B0A"/>
    <w:rPr>
      <w:color w:val="954F72" w:themeColor="followedHyperlink"/>
      <w:u w:val="single"/>
    </w:rPr>
  </w:style>
  <w:style w:type="paragraph" w:customStyle="1" w:styleId="Bodycopy">
    <w:name w:val="Body copy"/>
    <w:basedOn w:val="Normal"/>
    <w:link w:val="BodycopyChar"/>
    <w:rsid w:val="00F37CED"/>
    <w:pPr>
      <w:spacing w:after="0" w:line="240" w:lineRule="auto"/>
      <w:ind w:left="-540"/>
    </w:pPr>
    <w:rPr>
      <w:rFonts w:eastAsia="MS Mincho" w:cs="Times New Roman"/>
      <w:sz w:val="22"/>
      <w:szCs w:val="24"/>
      <w:lang w:val="en-US"/>
      <w14:ligatures w14:val="none"/>
    </w:rPr>
  </w:style>
  <w:style w:type="character" w:customStyle="1" w:styleId="BodycopyChar">
    <w:name w:val="Body copy Char"/>
    <w:link w:val="Bodycopy"/>
    <w:rsid w:val="00F37CED"/>
    <w:rPr>
      <w:rFonts w:ascii="Arial" w:eastAsia="MS Mincho" w:hAnsi="Arial" w:cs="Times New Roman"/>
      <w:kern w:val="0"/>
      <w:szCs w:val="24"/>
      <w:lang w:val="en-US"/>
      <w14:ligatures w14:val="none"/>
    </w:rPr>
  </w:style>
  <w:style w:type="paragraph" w:customStyle="1" w:styleId="StyleBodycopyBold">
    <w:name w:val="Style Body copy + Bold"/>
    <w:basedOn w:val="Bodycopy"/>
    <w:link w:val="StyleBodycopyBoldChar"/>
    <w:autoRedefine/>
    <w:rsid w:val="00F37CED"/>
    <w:pPr>
      <w:numPr>
        <w:numId w:val="20"/>
      </w:numPr>
      <w:tabs>
        <w:tab w:val="clear" w:pos="181"/>
        <w:tab w:val="num" w:pos="-180"/>
        <w:tab w:val="left" w:pos="567"/>
      </w:tabs>
      <w:spacing w:after="200"/>
      <w:ind w:left="567" w:hanging="567"/>
    </w:pPr>
    <w:rPr>
      <w:rFonts w:asciiTheme="majorHAnsi" w:hAnsiTheme="majorHAnsi" w:cstheme="majorHAnsi"/>
      <w:bCs/>
      <w:szCs w:val="22"/>
      <w:lang w:val="en-AU"/>
    </w:rPr>
  </w:style>
  <w:style w:type="character" w:customStyle="1" w:styleId="StyleBodycopyBoldChar">
    <w:name w:val="Style Body copy + Bold Char"/>
    <w:link w:val="StyleBodycopyBold"/>
    <w:rsid w:val="00F37CED"/>
    <w:rPr>
      <w:rFonts w:asciiTheme="majorHAnsi" w:eastAsia="MS Mincho" w:hAnsiTheme="majorHAnsi" w:cstheme="majorHAnsi"/>
      <w:bCs/>
      <w:kern w:val="0"/>
      <w14:ligatures w14:val="none"/>
    </w:rPr>
  </w:style>
  <w:style w:type="paragraph" w:customStyle="1" w:styleId="Bulletpoints">
    <w:name w:val="Bullet points"/>
    <w:basedOn w:val="Normal"/>
    <w:link w:val="BulletpointsChar"/>
    <w:qFormat/>
    <w:rsid w:val="00C7427D"/>
    <w:pPr>
      <w:numPr>
        <w:numId w:val="26"/>
      </w:numPr>
    </w:pPr>
  </w:style>
  <w:style w:type="character" w:customStyle="1" w:styleId="BulletpointsChar">
    <w:name w:val="Bullet points Char"/>
    <w:basedOn w:val="DefaultParagraphFont"/>
    <w:link w:val="Bulletpoints"/>
    <w:rsid w:val="00C7427D"/>
    <w:rPr>
      <w:rFonts w:ascii="Arial" w:hAnsi="Arial"/>
      <w:kern w:val="0"/>
      <w:sz w:val="21"/>
    </w:rPr>
  </w:style>
  <w:style w:type="paragraph" w:customStyle="1" w:styleId="Keycapabilities">
    <w:name w:val="Key capabilities"/>
    <w:basedOn w:val="Bulletpoints"/>
    <w:link w:val="KeycapabilitiesChar"/>
    <w:qFormat/>
    <w:rsid w:val="00C7427D"/>
    <w:pPr>
      <w:spacing w:after="0" w:line="240" w:lineRule="auto"/>
      <w:ind w:left="453" w:hanging="357"/>
    </w:pPr>
  </w:style>
  <w:style w:type="character" w:customStyle="1" w:styleId="KeycapabilitiesChar">
    <w:name w:val="Key capabilities Char"/>
    <w:basedOn w:val="BulletpointsChar"/>
    <w:link w:val="Keycapabilities"/>
    <w:rsid w:val="00C7427D"/>
    <w:rPr>
      <w:rFonts w:ascii="Arial" w:hAnsi="Arial"/>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353">
      <w:bodyDiv w:val="1"/>
      <w:marLeft w:val="0"/>
      <w:marRight w:val="0"/>
      <w:marTop w:val="0"/>
      <w:marBottom w:val="0"/>
      <w:divBdr>
        <w:top w:val="none" w:sz="0" w:space="0" w:color="auto"/>
        <w:left w:val="none" w:sz="0" w:space="0" w:color="auto"/>
        <w:bottom w:val="none" w:sz="0" w:space="0" w:color="auto"/>
        <w:right w:val="none" w:sz="0" w:space="0" w:color="auto"/>
      </w:divBdr>
    </w:div>
    <w:div w:id="1064833764">
      <w:bodyDiv w:val="1"/>
      <w:marLeft w:val="0"/>
      <w:marRight w:val="0"/>
      <w:marTop w:val="0"/>
      <w:marBottom w:val="0"/>
      <w:divBdr>
        <w:top w:val="none" w:sz="0" w:space="0" w:color="auto"/>
        <w:left w:val="none" w:sz="0" w:space="0" w:color="auto"/>
        <w:bottom w:val="none" w:sz="0" w:space="0" w:color="auto"/>
        <w:right w:val="none" w:sz="0" w:space="0" w:color="auto"/>
      </w:divBdr>
    </w:div>
    <w:div w:id="1262569731">
      <w:bodyDiv w:val="1"/>
      <w:marLeft w:val="0"/>
      <w:marRight w:val="0"/>
      <w:marTop w:val="0"/>
      <w:marBottom w:val="0"/>
      <w:divBdr>
        <w:top w:val="none" w:sz="0" w:space="0" w:color="auto"/>
        <w:left w:val="none" w:sz="0" w:space="0" w:color="auto"/>
        <w:bottom w:val="none" w:sz="0" w:space="0" w:color="auto"/>
        <w:right w:val="none" w:sz="0" w:space="0" w:color="auto"/>
      </w:divBdr>
    </w:div>
    <w:div w:id="176117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r.qld.gov.au/" TargetMode="External"/><Relationship Id="rId18" Type="http://schemas.openxmlformats.org/officeDocument/2006/relationships/image" Target="media/image7.png"/><Relationship Id="rId26"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teresa.wallace@oir.qld.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1.png"/><Relationship Id="rId28" Type="http://schemas.openxmlformats.org/officeDocument/2006/relationships/hyperlink" Target="http://www.smartjobs.qld.gov.au).T" TargetMode="Externa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svg"/><Relationship Id="rId27" Type="http://schemas.openxmlformats.org/officeDocument/2006/relationships/hyperlink" Target="https://www.forgov.qld.gov.au/working-in-the-public-service/leadership-and-learning-hub/build-capability/capability-frameworks-and-strategies/leadership-competencies-for-queensland" TargetMode="External"/><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A27CCEDE44601B2456563D569602F"/>
        <w:category>
          <w:name w:val="General"/>
          <w:gallery w:val="placeholder"/>
        </w:category>
        <w:types>
          <w:type w:val="bbPlcHdr"/>
        </w:types>
        <w:behaviors>
          <w:behavior w:val="content"/>
        </w:behaviors>
        <w:guid w:val="{12D3095F-9EF7-4D36-84E4-6431AA31DA42}"/>
      </w:docPartPr>
      <w:docPartBody>
        <w:p w:rsidR="00EA743C" w:rsidRDefault="009809BB" w:rsidP="009809BB">
          <w:pPr>
            <w:pStyle w:val="068A27CCEDE44601B2456563D569602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82"/>
    <w:rsid w:val="0028168F"/>
    <w:rsid w:val="0087718B"/>
    <w:rsid w:val="009809BB"/>
    <w:rsid w:val="00A406D1"/>
    <w:rsid w:val="00BA6786"/>
    <w:rsid w:val="00C57E82"/>
    <w:rsid w:val="00EA7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9809BB"/>
    <w:rPr>
      <w:color w:val="808080"/>
    </w:rPr>
  </w:style>
  <w:style w:type="paragraph" w:customStyle="1" w:styleId="068A27CCEDE44601B2456563D569602F">
    <w:name w:val="068A27CCEDE44601B2456563D569602F"/>
    <w:rsid w:val="0098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e1ad867998499287bb407ba4bcb7bc xmlns="40b65710-e3b0-4eb7-a562-55c43e5811c0">
      <Terms xmlns="http://schemas.microsoft.com/office/infopath/2007/PartnerControls"/>
    </pde1ad867998499287bb407ba4bcb7bc>
    <PublishingStartDate xmlns="http://schemas.microsoft.com/sharepoint/v3" xsi:nil="true"/>
    <PublishingExpirationDate xmlns="http://schemas.microsoft.com/sharepoint/v3" xsi:nil="true"/>
    <me9e23cdcd6e4ceaa541b246eab01d60 xmlns="40b65710-e3b0-4eb7-a562-55c43e5811c0">
      <Terms xmlns="http://schemas.microsoft.com/office/infopath/2007/PartnerControls"/>
    </me9e23cdcd6e4ceaa541b246eab01d60>
    <Process xmlns="321715e1-1fa7-4b70-a837-51da37260cad" xsi:nil="true"/>
    <TaxCatchAll xmlns="40b65710-e3b0-4eb7-a562-55c43e5811c0"/>
    <TranslationStateDownloadLink xmlns="http://schemas.microsoft.com/sharepoint/v3">
      <Url xsi:nil="true"/>
      <Description xsi:nil="true"/>
    </TranslationStateDownloadLink>
    <Documenttype xmlns="321715e1-1fa7-4b70-a837-51da37260cad" xsi:nil="true"/>
    <Landing_x0020_description xmlns="40b65710-e3b0-4eb7-a562-55c43e5811c0"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4C34064A79746B1B31BAC400D122D" ma:contentTypeVersion="19" ma:contentTypeDescription="Create a new document." ma:contentTypeScope="" ma:versionID="64de20ffdd3fef22ef3d57b0eea3739d">
  <xsd:schema xmlns:xsd="http://www.w3.org/2001/XMLSchema" xmlns:xs="http://www.w3.org/2001/XMLSchema" xmlns:p="http://schemas.microsoft.com/office/2006/metadata/properties" xmlns:ns1="http://schemas.microsoft.com/sharepoint/v3" xmlns:ns2="40b65710-e3b0-4eb7-a562-55c43e5811c0" xmlns:ns3="321715e1-1fa7-4b70-a837-51da37260cad" xmlns:ns4="http://schemas.microsoft.com/sharepoint/v4" targetNamespace="http://schemas.microsoft.com/office/2006/metadata/properties" ma:root="true" ma:fieldsID="3fbb51475643067b655847254b65fc58" ns1:_="" ns2:_="" ns3:_="" ns4:_="">
    <xsd:import namespace="http://schemas.microsoft.com/sharepoint/v3"/>
    <xsd:import namespace="40b65710-e3b0-4eb7-a562-55c43e5811c0"/>
    <xsd:import namespace="321715e1-1fa7-4b70-a837-51da37260c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
      <xsd:simpleType>
        <xsd:restriction base="dms:Choice">
          <xsd:enumeration value="Correspondence"/>
          <xsd:enumeration value="Cabinet submiss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81FC9-4E36-42E7-8A26-1BA65D024304}">
  <ds:schemaRefs>
    <ds:schemaRef ds:uri="http://schemas.microsoft.com/sharepoint/v3/contenttype/forms"/>
  </ds:schemaRefs>
</ds:datastoreItem>
</file>

<file path=customXml/itemProps2.xml><?xml version="1.0" encoding="utf-8"?>
<ds:datastoreItem xmlns:ds="http://schemas.openxmlformats.org/officeDocument/2006/customXml" ds:itemID="{76D7266D-1B86-4B48-B88A-A348AF2580DE}">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microsoft.com/sharepoint/v4"/>
    <ds:schemaRef ds:uri="40b65710-e3b0-4eb7-a562-55c43e5811c0"/>
    <ds:schemaRef ds:uri="http://purl.org/dc/elements/1.1/"/>
    <ds:schemaRef ds:uri="http://schemas.microsoft.com/sharepoint/v3"/>
    <ds:schemaRef ds:uri="http://schemas.openxmlformats.org/package/2006/metadata/core-properties"/>
    <ds:schemaRef ds:uri="321715e1-1fa7-4b70-a837-51da37260cad"/>
    <ds:schemaRef ds:uri="http://www.w3.org/XML/1998/namespace"/>
  </ds:schemaRefs>
</ds:datastoreItem>
</file>

<file path=customXml/itemProps3.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customXml/itemProps4.xml><?xml version="1.0" encoding="utf-8"?>
<ds:datastoreItem xmlns:ds="http://schemas.openxmlformats.org/officeDocument/2006/customXml" ds:itemID="{9163CA0F-E816-45E7-B949-23831ED9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0</TotalTime>
  <Pages>4</Pages>
  <Words>1636</Words>
  <Characters>9330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Rachelle Chamings</cp:lastModifiedBy>
  <cp:revision>2</cp:revision>
  <dcterms:created xsi:type="dcterms:W3CDTF">2024-06-21T05:43:00Z</dcterms:created>
  <dcterms:modified xsi:type="dcterms:W3CDTF">2024-06-21T05:43:00Z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434832298</vt:i4>
  </property>
  <property fmtid="{D5CDD505-2E9C-101B-9397-08002B2CF9AE}" pid="3" name="_NewReviewCycle">
    <vt:lpwstr/>
  </property>
  <property fmtid="{D5CDD505-2E9C-101B-9397-08002B2CF9AE}" pid="4" name="_EmailSubject">
    <vt:lpwstr>Priority OIR intranet change - R&amp;S docs</vt:lpwstr>
  </property>
  <property fmtid="{D5CDD505-2E9C-101B-9397-08002B2CF9AE}" pid="5" name="_AuthorEmail">
    <vt:lpwstr>StrategicCommunications@oir.qld.gov.au</vt:lpwstr>
  </property>
  <property fmtid="{D5CDD505-2E9C-101B-9397-08002B2CF9AE}" pid="6" name="_AuthorEmailDisplayName">
    <vt:lpwstr>Strategic Communications</vt:lpwstr>
  </property>
  <property fmtid="{D5CDD505-2E9C-101B-9397-08002B2CF9AE}" pid="7" name="_PreviousAdHocReviewCycleID">
    <vt:i4>-470305873</vt:i4>
  </property>
  <property fmtid="{D5CDD505-2E9C-101B-9397-08002B2CF9AE}" pid="8" name="Landing page">
    <vt:lpwstr/>
  </property>
  <property fmtid="{D5CDD505-2E9C-101B-9397-08002B2CF9AE}" pid="9" name="_ReviewingToolsShownOnce">
    <vt:lpwstr/>
  </property>
  <property fmtid="{D5CDD505-2E9C-101B-9397-08002B2CF9AE}" pid="10" name="ContentTypeId">
    <vt:lpwstr>0x0101009EC4C34064A79746B1B31BAC400D122D</vt:lpwstr>
  </property>
  <property fmtid="{D5CDD505-2E9C-101B-9397-08002B2CF9AE}" pid="11" name="Business unit">
    <vt:lpwstr/>
  </property>
</Properties>
</file>