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ook w:val="04A0" w:firstRow="1" w:lastRow="0" w:firstColumn="1" w:lastColumn="0" w:noHBand="0" w:noVBand="1"/>
      </w:tblPr>
      <w:tblGrid>
        <w:gridCol w:w="961"/>
        <w:gridCol w:w="4742"/>
        <w:gridCol w:w="4743"/>
      </w:tblGrid>
      <w:tr w:rsidR="00FE46FF" w:rsidRPr="00201676" w14:paraId="0FD1DD04" w14:textId="46044D25" w:rsidTr="008F767F">
        <w:trPr>
          <w:trHeight w:val="787"/>
        </w:trPr>
        <w:tc>
          <w:tcPr>
            <w:tcW w:w="961" w:type="dxa"/>
            <w:shd w:val="clear" w:color="auto" w:fill="F2F2F2" w:themeFill="background1" w:themeFillShade="F2"/>
          </w:tcPr>
          <w:p w14:paraId="2EF8023C" w14:textId="77777777" w:rsidR="005F538E" w:rsidRDefault="005F538E" w:rsidP="0002235C">
            <w:pPr>
              <w:rPr>
                <w:b/>
                <w:bCs/>
                <w:noProof/>
                <w:sz w:val="18"/>
                <w:szCs w:val="18"/>
              </w:rPr>
            </w:pPr>
          </w:p>
          <w:p w14:paraId="55A44755" w14:textId="7B7A7336" w:rsidR="00FE46FF" w:rsidRPr="000D7A82" w:rsidRDefault="00FE46FF" w:rsidP="0002235C">
            <w:pPr>
              <w:rPr>
                <w:b/>
                <w:bCs/>
                <w:noProof/>
                <w:sz w:val="18"/>
                <w:szCs w:val="18"/>
              </w:rPr>
            </w:pPr>
            <w:r w:rsidRPr="000D7A82">
              <w:rPr>
                <w:b/>
                <w:bCs/>
                <w:noProof/>
                <w:sz w:val="18"/>
                <w:szCs w:val="18"/>
              </w:rPr>
              <w:drawing>
                <wp:inline distT="0" distB="0" distL="0" distR="0" wp14:anchorId="560B3A4C" wp14:editId="3685B936">
                  <wp:extent cx="405441" cy="405441"/>
                  <wp:effectExtent l="0" t="0" r="0" b="0"/>
                  <wp:docPr id="10" name="Graphic 10" descr="Clo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lock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12505" cy="412505"/>
                          </a:xfrm>
                          <a:prstGeom prst="rect">
                            <a:avLst/>
                          </a:prstGeom>
                        </pic:spPr>
                      </pic:pic>
                    </a:graphicData>
                  </a:graphic>
                </wp:inline>
              </w:drawing>
            </w:r>
          </w:p>
        </w:tc>
        <w:tc>
          <w:tcPr>
            <w:tcW w:w="4742" w:type="dxa"/>
            <w:shd w:val="clear" w:color="auto" w:fill="F2F2F2" w:themeFill="background1" w:themeFillShade="F2"/>
          </w:tcPr>
          <w:p w14:paraId="73AB3975" w14:textId="77777777" w:rsidR="005F538E" w:rsidRPr="0087046A" w:rsidRDefault="005F538E" w:rsidP="0002235C">
            <w:pPr>
              <w:rPr>
                <w:b/>
                <w:bCs/>
                <w:sz w:val="18"/>
                <w:szCs w:val="18"/>
              </w:rPr>
            </w:pPr>
          </w:p>
          <w:p w14:paraId="1A517068" w14:textId="0AC839F7" w:rsidR="00FE46FF" w:rsidRPr="0087046A" w:rsidRDefault="00FE46FF" w:rsidP="0002235C">
            <w:pPr>
              <w:rPr>
                <w:b/>
                <w:bCs/>
                <w:sz w:val="18"/>
                <w:szCs w:val="18"/>
              </w:rPr>
            </w:pPr>
            <w:r w:rsidRPr="0087046A">
              <w:rPr>
                <w:b/>
                <w:bCs/>
                <w:sz w:val="18"/>
                <w:szCs w:val="18"/>
              </w:rPr>
              <w:t>Role type</w:t>
            </w:r>
          </w:p>
          <w:p w14:paraId="64DA5165" w14:textId="465A71AE" w:rsidR="00FE46FF" w:rsidRPr="0087046A" w:rsidRDefault="0087046A" w:rsidP="0002235C">
            <w:pPr>
              <w:rPr>
                <w:sz w:val="18"/>
                <w:szCs w:val="18"/>
              </w:rPr>
            </w:pPr>
            <w:r w:rsidRPr="0087046A">
              <w:rPr>
                <w:sz w:val="18"/>
                <w:szCs w:val="18"/>
              </w:rPr>
              <w:t>Full Time</w:t>
            </w:r>
          </w:p>
          <w:p w14:paraId="6971E830" w14:textId="77777777" w:rsidR="00FE46FF" w:rsidRPr="0087046A" w:rsidRDefault="0087046A" w:rsidP="0087046A">
            <w:pPr>
              <w:rPr>
                <w:sz w:val="18"/>
                <w:szCs w:val="18"/>
              </w:rPr>
            </w:pPr>
            <w:r w:rsidRPr="0087046A">
              <w:rPr>
                <w:sz w:val="18"/>
                <w:szCs w:val="18"/>
              </w:rPr>
              <w:t>Permanent</w:t>
            </w:r>
          </w:p>
          <w:p w14:paraId="4152082B" w14:textId="70F3B9F1" w:rsidR="0087046A" w:rsidRPr="0087046A" w:rsidRDefault="0087046A" w:rsidP="0087046A">
            <w:pPr>
              <w:rPr>
                <w:sz w:val="18"/>
                <w:szCs w:val="18"/>
              </w:rPr>
            </w:pPr>
          </w:p>
        </w:tc>
        <w:tc>
          <w:tcPr>
            <w:tcW w:w="4743" w:type="dxa"/>
            <w:vMerge w:val="restart"/>
            <w:shd w:val="clear" w:color="auto" w:fill="auto"/>
          </w:tcPr>
          <w:p w14:paraId="3256A4A5" w14:textId="77777777" w:rsidR="0024317B" w:rsidRDefault="0002235C" w:rsidP="005F538E">
            <w:pPr>
              <w:spacing w:before="120" w:after="120" w:line="259" w:lineRule="auto"/>
              <w:ind w:left="113" w:right="164"/>
              <w:jc w:val="both"/>
              <w:rPr>
                <w:szCs w:val="21"/>
              </w:rPr>
            </w:pPr>
            <w:r w:rsidRPr="0002235C">
              <w:rPr>
                <w:szCs w:val="21"/>
              </w:rPr>
              <w:t>Our purpose is to deliver contemporary regulatory and other government services to Queenslanders</w:t>
            </w:r>
          </w:p>
          <w:p w14:paraId="07981CA6" w14:textId="718FBE94" w:rsidR="005F538E" w:rsidRDefault="0024317B" w:rsidP="005F538E">
            <w:pPr>
              <w:spacing w:before="120" w:after="120" w:line="259" w:lineRule="auto"/>
              <w:ind w:left="113" w:right="164"/>
              <w:jc w:val="both"/>
              <w:rPr>
                <w:szCs w:val="21"/>
              </w:rPr>
            </w:pPr>
            <w:r>
              <w:rPr>
                <w:szCs w:val="21"/>
              </w:rPr>
              <w:t xml:space="preserve">Our </w:t>
            </w:r>
            <w:r w:rsidR="0002235C" w:rsidRPr="0002235C">
              <w:rPr>
                <w:szCs w:val="21"/>
              </w:rPr>
              <w:t>vision is for Queensland workers, industry and communities, to be healthy, safe, fair and productive.</w:t>
            </w:r>
          </w:p>
          <w:p w14:paraId="3E95EF3C" w14:textId="50329507" w:rsidR="0002235C" w:rsidRPr="0002235C" w:rsidRDefault="0002235C" w:rsidP="005F538E">
            <w:pPr>
              <w:spacing w:before="120" w:after="120" w:line="259" w:lineRule="auto"/>
              <w:ind w:left="113" w:right="164"/>
              <w:jc w:val="both"/>
              <w:rPr>
                <w:szCs w:val="21"/>
              </w:rPr>
            </w:pPr>
            <w:r w:rsidRPr="0002235C">
              <w:rPr>
                <w:szCs w:val="21"/>
              </w:rPr>
              <w:t xml:space="preserve">To achieve </w:t>
            </w:r>
            <w:r w:rsidR="0024317B">
              <w:rPr>
                <w:szCs w:val="21"/>
              </w:rPr>
              <w:t>this</w:t>
            </w:r>
            <w:r w:rsidR="008D28FC">
              <w:rPr>
                <w:szCs w:val="21"/>
              </w:rPr>
              <w:t xml:space="preserve">, </w:t>
            </w:r>
            <w:r w:rsidRPr="0002235C">
              <w:rPr>
                <w:szCs w:val="21"/>
              </w:rPr>
              <w:t>we focus on three priorities:</w:t>
            </w:r>
          </w:p>
          <w:p w14:paraId="3A1A2ACE" w14:textId="77777777" w:rsidR="005F538E" w:rsidRDefault="0002235C" w:rsidP="005F538E">
            <w:pPr>
              <w:spacing w:before="120" w:after="120" w:line="259" w:lineRule="auto"/>
              <w:ind w:left="113" w:right="164"/>
              <w:jc w:val="both"/>
              <w:rPr>
                <w:color w:val="2F5496" w:themeColor="accent1" w:themeShade="BF"/>
                <w:sz w:val="22"/>
              </w:rPr>
            </w:pPr>
            <w:r w:rsidRPr="008D28FC">
              <w:rPr>
                <w:color w:val="2F5496" w:themeColor="accent1" w:themeShade="BF"/>
                <w:sz w:val="22"/>
              </w:rPr>
              <w:t xml:space="preserve">Industry, community and partnerships </w:t>
            </w:r>
          </w:p>
          <w:p w14:paraId="782644E5" w14:textId="77777777" w:rsidR="005F538E" w:rsidRDefault="0002235C" w:rsidP="005F538E">
            <w:pPr>
              <w:spacing w:before="120" w:after="120" w:line="259" w:lineRule="auto"/>
              <w:ind w:left="113" w:right="164"/>
              <w:jc w:val="both"/>
              <w:rPr>
                <w:color w:val="2F5496" w:themeColor="accent1" w:themeShade="BF"/>
                <w:sz w:val="22"/>
              </w:rPr>
            </w:pPr>
            <w:r w:rsidRPr="008D28FC">
              <w:rPr>
                <w:color w:val="2F5496" w:themeColor="accent1" w:themeShade="BF"/>
                <w:sz w:val="22"/>
              </w:rPr>
              <w:t xml:space="preserve">Regulatory standards </w:t>
            </w:r>
          </w:p>
          <w:p w14:paraId="63DAC324" w14:textId="52BB57DB" w:rsidR="0002235C" w:rsidRPr="00BA473F" w:rsidRDefault="0002235C" w:rsidP="005F538E">
            <w:pPr>
              <w:spacing w:before="120" w:after="120" w:line="259" w:lineRule="auto"/>
              <w:ind w:left="113" w:right="164"/>
              <w:jc w:val="both"/>
              <w:rPr>
                <w:color w:val="2F5496" w:themeColor="accent1" w:themeShade="BF"/>
                <w:sz w:val="24"/>
                <w:szCs w:val="24"/>
              </w:rPr>
            </w:pPr>
            <w:r w:rsidRPr="008D28FC">
              <w:rPr>
                <w:color w:val="2F5496" w:themeColor="accent1" w:themeShade="BF"/>
                <w:sz w:val="22"/>
              </w:rPr>
              <w:t>Our people</w:t>
            </w:r>
          </w:p>
          <w:p w14:paraId="472EF4C7" w14:textId="77777777" w:rsidR="00B8679B" w:rsidRDefault="0024317B" w:rsidP="005F538E">
            <w:pPr>
              <w:spacing w:before="120" w:after="120" w:line="259" w:lineRule="auto"/>
              <w:ind w:left="113" w:right="164"/>
              <w:jc w:val="both"/>
              <w:rPr>
                <w:szCs w:val="21"/>
              </w:rPr>
            </w:pPr>
            <w:r>
              <w:rPr>
                <w:szCs w:val="21"/>
              </w:rPr>
              <w:t xml:space="preserve">At the OIR we, improve </w:t>
            </w:r>
            <w:r w:rsidR="00FE46FF" w:rsidRPr="0002235C">
              <w:rPr>
                <w:szCs w:val="21"/>
              </w:rPr>
              <w:t>work health and safety in Queensland and help to reduce the risk of workers being killed or injured on the job</w:t>
            </w:r>
            <w:r w:rsidR="0002235C" w:rsidRPr="0002235C">
              <w:rPr>
                <w:szCs w:val="21"/>
              </w:rPr>
              <w:t xml:space="preserve">; </w:t>
            </w:r>
            <w:r w:rsidR="00FE46FF" w:rsidRPr="0002235C">
              <w:rPr>
                <w:szCs w:val="21"/>
              </w:rPr>
              <w:t>develop</w:t>
            </w:r>
            <w:r w:rsidR="00F8349F" w:rsidRPr="0002235C">
              <w:rPr>
                <w:szCs w:val="21"/>
              </w:rPr>
              <w:t xml:space="preserve"> </w:t>
            </w:r>
            <w:r w:rsidR="00FE46FF" w:rsidRPr="0002235C">
              <w:rPr>
                <w:szCs w:val="21"/>
              </w:rPr>
              <w:t>and enforce standards for electrical safety in Queensland</w:t>
            </w:r>
            <w:r w:rsidR="0002235C" w:rsidRPr="0002235C">
              <w:rPr>
                <w:szCs w:val="21"/>
              </w:rPr>
              <w:t xml:space="preserve">; </w:t>
            </w:r>
            <w:r w:rsidR="00FE46FF" w:rsidRPr="0002235C">
              <w:rPr>
                <w:szCs w:val="21"/>
              </w:rPr>
              <w:t>regulate workers’ compensation</w:t>
            </w:r>
            <w:r w:rsidR="00F8349F" w:rsidRPr="0002235C">
              <w:rPr>
                <w:szCs w:val="21"/>
              </w:rPr>
              <w:t>; and</w:t>
            </w:r>
            <w:r w:rsidR="0002235C" w:rsidRPr="0002235C">
              <w:rPr>
                <w:szCs w:val="21"/>
              </w:rPr>
              <w:t xml:space="preserve"> </w:t>
            </w:r>
            <w:r w:rsidR="00FE46FF" w:rsidRPr="0002235C">
              <w:rPr>
                <w:szCs w:val="21"/>
              </w:rPr>
              <w:t>support improved productivity and fairness in Queensland workplaces</w:t>
            </w:r>
            <w:r w:rsidR="0002235C" w:rsidRPr="0002235C">
              <w:rPr>
                <w:szCs w:val="21"/>
              </w:rPr>
              <w:t xml:space="preserve">. We also provide </w:t>
            </w:r>
            <w:r>
              <w:rPr>
                <w:szCs w:val="21"/>
              </w:rPr>
              <w:t xml:space="preserve">a range of </w:t>
            </w:r>
            <w:r w:rsidR="0002235C" w:rsidRPr="0002235C">
              <w:rPr>
                <w:szCs w:val="21"/>
              </w:rPr>
              <w:t>business and corporate services.</w:t>
            </w:r>
            <w:r w:rsidR="00B8679B">
              <w:rPr>
                <w:szCs w:val="21"/>
              </w:rPr>
              <w:t xml:space="preserve"> </w:t>
            </w:r>
          </w:p>
          <w:p w14:paraId="2E10616E" w14:textId="62E0050F" w:rsidR="00180C3D" w:rsidRPr="0002235C" w:rsidRDefault="0024317B" w:rsidP="005F538E">
            <w:pPr>
              <w:spacing w:before="120" w:after="120" w:line="259" w:lineRule="auto"/>
              <w:ind w:left="113" w:right="164"/>
              <w:jc w:val="both"/>
              <w:rPr>
                <w:color w:val="000000"/>
                <w:sz w:val="22"/>
              </w:rPr>
            </w:pPr>
            <w:r>
              <w:rPr>
                <w:szCs w:val="21"/>
              </w:rPr>
              <w:t xml:space="preserve">For more about the OIR go to </w:t>
            </w:r>
            <w:hyperlink r:id="rId13" w:history="1">
              <w:r w:rsidR="0002235C" w:rsidRPr="0002235C">
                <w:rPr>
                  <w:rStyle w:val="Hyperlink"/>
                  <w:sz w:val="21"/>
                  <w:szCs w:val="21"/>
                </w:rPr>
                <w:t>https://www.oir.qld.gov.au/</w:t>
              </w:r>
            </w:hyperlink>
          </w:p>
        </w:tc>
      </w:tr>
      <w:tr w:rsidR="00FE46FF" w:rsidRPr="00201676" w14:paraId="5031D72E" w14:textId="45767C65" w:rsidTr="008F767F">
        <w:trPr>
          <w:trHeight w:val="787"/>
        </w:trPr>
        <w:tc>
          <w:tcPr>
            <w:tcW w:w="961" w:type="dxa"/>
            <w:shd w:val="clear" w:color="auto" w:fill="F2F2F2" w:themeFill="background1" w:themeFillShade="F2"/>
          </w:tcPr>
          <w:p w14:paraId="0118A9CA" w14:textId="77777777" w:rsidR="00FE46FF" w:rsidRPr="000D7A82" w:rsidRDefault="00FE46FF" w:rsidP="0002235C">
            <w:pPr>
              <w:rPr>
                <w:b/>
                <w:bCs/>
                <w:sz w:val="18"/>
                <w:szCs w:val="18"/>
              </w:rPr>
            </w:pPr>
            <w:r w:rsidRPr="000D7A82">
              <w:rPr>
                <w:b/>
                <w:bCs/>
                <w:noProof/>
                <w:sz w:val="18"/>
                <w:szCs w:val="18"/>
              </w:rPr>
              <w:drawing>
                <wp:inline distT="0" distB="0" distL="0" distR="0" wp14:anchorId="3F2376BF" wp14:editId="4E8F4C6F">
                  <wp:extent cx="388188" cy="388188"/>
                  <wp:effectExtent l="0" t="0" r="0" b="0"/>
                  <wp:docPr id="11" name="Graphic 11" descr="Doll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llar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94474" cy="394474"/>
                          </a:xfrm>
                          <a:prstGeom prst="rect">
                            <a:avLst/>
                          </a:prstGeom>
                        </pic:spPr>
                      </pic:pic>
                    </a:graphicData>
                  </a:graphic>
                </wp:inline>
              </w:drawing>
            </w:r>
          </w:p>
        </w:tc>
        <w:tc>
          <w:tcPr>
            <w:tcW w:w="4742" w:type="dxa"/>
            <w:shd w:val="clear" w:color="auto" w:fill="F2F2F2" w:themeFill="background1" w:themeFillShade="F2"/>
          </w:tcPr>
          <w:p w14:paraId="2A365ADD" w14:textId="77777777" w:rsidR="00FE46FF" w:rsidRPr="00F40135" w:rsidRDefault="00FE46FF" w:rsidP="0002235C">
            <w:pPr>
              <w:rPr>
                <w:b/>
                <w:bCs/>
                <w:sz w:val="18"/>
                <w:szCs w:val="18"/>
              </w:rPr>
            </w:pPr>
            <w:r w:rsidRPr="00F40135">
              <w:rPr>
                <w:b/>
                <w:bCs/>
                <w:sz w:val="18"/>
                <w:szCs w:val="18"/>
              </w:rPr>
              <w:t>Salary per annum</w:t>
            </w:r>
          </w:p>
          <w:p w14:paraId="024897C6" w14:textId="7CE6D699" w:rsidR="00FE46FF" w:rsidRPr="00F40135" w:rsidRDefault="00446E54" w:rsidP="0002235C">
            <w:pPr>
              <w:rPr>
                <w:sz w:val="18"/>
                <w:szCs w:val="18"/>
              </w:rPr>
            </w:pPr>
            <w:r>
              <w:rPr>
                <w:sz w:val="18"/>
                <w:szCs w:val="18"/>
              </w:rPr>
              <w:t>$99,752 - $108,215</w:t>
            </w:r>
            <w:r w:rsidR="00FE46FF" w:rsidRPr="00F40135">
              <w:rPr>
                <w:sz w:val="18"/>
                <w:szCs w:val="18"/>
              </w:rPr>
              <w:t>*</w:t>
            </w:r>
          </w:p>
          <w:p w14:paraId="35F32A7C" w14:textId="77777777" w:rsidR="00FE46FF" w:rsidRPr="000D7A82" w:rsidRDefault="00FE46FF" w:rsidP="0002235C">
            <w:pPr>
              <w:rPr>
                <w:sz w:val="18"/>
                <w:szCs w:val="18"/>
              </w:rPr>
            </w:pPr>
            <w:r w:rsidRPr="00F40135">
              <w:rPr>
                <w:sz w:val="18"/>
                <w:szCs w:val="18"/>
              </w:rPr>
              <w:t>*plus up to 12.75% superannuation contributions</w:t>
            </w:r>
          </w:p>
        </w:tc>
        <w:tc>
          <w:tcPr>
            <w:tcW w:w="4743" w:type="dxa"/>
            <w:vMerge/>
            <w:shd w:val="clear" w:color="auto" w:fill="auto"/>
          </w:tcPr>
          <w:p w14:paraId="6D8F1ACF" w14:textId="77777777" w:rsidR="00FE46FF" w:rsidRPr="00F40135" w:rsidRDefault="00FE46FF" w:rsidP="0002235C">
            <w:pPr>
              <w:rPr>
                <w:b/>
                <w:bCs/>
                <w:sz w:val="18"/>
                <w:szCs w:val="18"/>
              </w:rPr>
            </w:pPr>
          </w:p>
        </w:tc>
      </w:tr>
      <w:tr w:rsidR="00FE46FF" w:rsidRPr="00201676" w14:paraId="05736C56" w14:textId="26047B86" w:rsidTr="008F767F">
        <w:trPr>
          <w:trHeight w:val="787"/>
        </w:trPr>
        <w:tc>
          <w:tcPr>
            <w:tcW w:w="961" w:type="dxa"/>
            <w:shd w:val="clear" w:color="auto" w:fill="F2F2F2" w:themeFill="background1" w:themeFillShade="F2"/>
          </w:tcPr>
          <w:p w14:paraId="2318E3E4" w14:textId="77777777" w:rsidR="00FE46FF" w:rsidRPr="000D7A82" w:rsidRDefault="00FE46FF" w:rsidP="0002235C">
            <w:pPr>
              <w:rPr>
                <w:b/>
                <w:bCs/>
                <w:sz w:val="18"/>
                <w:szCs w:val="18"/>
              </w:rPr>
            </w:pPr>
            <w:r w:rsidRPr="000D7A82">
              <w:rPr>
                <w:b/>
                <w:bCs/>
                <w:noProof/>
                <w:sz w:val="18"/>
                <w:szCs w:val="18"/>
              </w:rPr>
              <w:drawing>
                <wp:inline distT="0" distB="0" distL="0" distR="0" wp14:anchorId="1D002289" wp14:editId="2939B5EA">
                  <wp:extent cx="387985" cy="387985"/>
                  <wp:effectExtent l="0" t="0" r="0" b="0"/>
                  <wp:docPr id="12" name="Graphic 12" descr="Cit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ity outlin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7985" cy="387985"/>
                          </a:xfrm>
                          <a:prstGeom prst="rect">
                            <a:avLst/>
                          </a:prstGeom>
                        </pic:spPr>
                      </pic:pic>
                    </a:graphicData>
                  </a:graphic>
                </wp:inline>
              </w:drawing>
            </w:r>
          </w:p>
        </w:tc>
        <w:tc>
          <w:tcPr>
            <w:tcW w:w="4742" w:type="dxa"/>
            <w:shd w:val="clear" w:color="auto" w:fill="F2F2F2" w:themeFill="background1" w:themeFillShade="F2"/>
          </w:tcPr>
          <w:p w14:paraId="0CEB760D" w14:textId="77777777" w:rsidR="00FE46FF" w:rsidRPr="000D7A82" w:rsidRDefault="00FE46FF" w:rsidP="0002235C">
            <w:pPr>
              <w:rPr>
                <w:b/>
                <w:bCs/>
                <w:sz w:val="18"/>
                <w:szCs w:val="18"/>
              </w:rPr>
            </w:pPr>
            <w:r w:rsidRPr="000D7A82">
              <w:rPr>
                <w:b/>
                <w:bCs/>
                <w:sz w:val="18"/>
                <w:szCs w:val="18"/>
              </w:rPr>
              <w:t>Location</w:t>
            </w:r>
          </w:p>
          <w:p w14:paraId="401C8A7E" w14:textId="0186D5C1" w:rsidR="00FE46FF" w:rsidRPr="000D7A82" w:rsidRDefault="0087046A" w:rsidP="0002235C">
            <w:pPr>
              <w:rPr>
                <w:sz w:val="18"/>
                <w:szCs w:val="18"/>
              </w:rPr>
            </w:pPr>
            <w:r>
              <w:rPr>
                <w:sz w:val="18"/>
                <w:szCs w:val="18"/>
              </w:rPr>
              <w:t>Newstead</w:t>
            </w:r>
          </w:p>
        </w:tc>
        <w:tc>
          <w:tcPr>
            <w:tcW w:w="4743" w:type="dxa"/>
            <w:vMerge/>
            <w:shd w:val="clear" w:color="auto" w:fill="auto"/>
          </w:tcPr>
          <w:p w14:paraId="15039521" w14:textId="77777777" w:rsidR="00FE46FF" w:rsidRPr="000D7A82" w:rsidRDefault="00FE46FF" w:rsidP="0002235C">
            <w:pPr>
              <w:rPr>
                <w:b/>
                <w:bCs/>
                <w:sz w:val="18"/>
                <w:szCs w:val="18"/>
              </w:rPr>
            </w:pPr>
          </w:p>
        </w:tc>
      </w:tr>
      <w:tr w:rsidR="00FE46FF" w:rsidRPr="00201676" w14:paraId="1EA197AD" w14:textId="457CD779" w:rsidTr="008F767F">
        <w:trPr>
          <w:trHeight w:val="787"/>
        </w:trPr>
        <w:tc>
          <w:tcPr>
            <w:tcW w:w="961" w:type="dxa"/>
            <w:shd w:val="clear" w:color="auto" w:fill="F2F2F2" w:themeFill="background1" w:themeFillShade="F2"/>
          </w:tcPr>
          <w:p w14:paraId="28EE51BF" w14:textId="11FA3EB5" w:rsidR="00FE46FF" w:rsidRPr="000D7A82" w:rsidRDefault="00FE46FF" w:rsidP="0002235C">
            <w:pPr>
              <w:rPr>
                <w:b/>
                <w:bCs/>
                <w:noProof/>
                <w:sz w:val="18"/>
                <w:szCs w:val="18"/>
              </w:rPr>
            </w:pPr>
            <w:r w:rsidRPr="000D7A82">
              <w:rPr>
                <w:b/>
                <w:bCs/>
                <w:noProof/>
                <w:sz w:val="18"/>
                <w:szCs w:val="18"/>
              </w:rPr>
              <w:drawing>
                <wp:inline distT="0" distB="0" distL="0" distR="0" wp14:anchorId="4844575B" wp14:editId="00D82158">
                  <wp:extent cx="396815" cy="396815"/>
                  <wp:effectExtent l="0" t="0" r="3810" b="0"/>
                  <wp:docPr id="2" name="Graphic 2" descr="Employee bad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Employee badge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0270" cy="400270"/>
                          </a:xfrm>
                          <a:prstGeom prst="rect">
                            <a:avLst/>
                          </a:prstGeom>
                        </pic:spPr>
                      </pic:pic>
                    </a:graphicData>
                  </a:graphic>
                </wp:inline>
              </w:drawing>
            </w:r>
          </w:p>
        </w:tc>
        <w:tc>
          <w:tcPr>
            <w:tcW w:w="4742" w:type="dxa"/>
            <w:shd w:val="clear" w:color="auto" w:fill="F2F2F2" w:themeFill="background1" w:themeFillShade="F2"/>
          </w:tcPr>
          <w:p w14:paraId="7E83D3EE" w14:textId="77777777" w:rsidR="00FE46FF" w:rsidRPr="000D7A82" w:rsidRDefault="00FE46FF" w:rsidP="0002235C">
            <w:pPr>
              <w:rPr>
                <w:b/>
                <w:bCs/>
                <w:sz w:val="18"/>
                <w:szCs w:val="18"/>
              </w:rPr>
            </w:pPr>
            <w:r w:rsidRPr="000D7A82">
              <w:rPr>
                <w:b/>
                <w:bCs/>
                <w:sz w:val="18"/>
                <w:szCs w:val="18"/>
              </w:rPr>
              <w:t>Contact</w:t>
            </w:r>
          </w:p>
          <w:p w14:paraId="49793C70" w14:textId="77777777" w:rsidR="00FE46FF" w:rsidRDefault="0087046A" w:rsidP="0002235C">
            <w:pPr>
              <w:rPr>
                <w:sz w:val="18"/>
                <w:szCs w:val="18"/>
              </w:rPr>
            </w:pPr>
            <w:r>
              <w:rPr>
                <w:sz w:val="18"/>
                <w:szCs w:val="18"/>
              </w:rPr>
              <w:t>Ethan Song, Manager Authorisations</w:t>
            </w:r>
          </w:p>
          <w:p w14:paraId="4CCEBED2" w14:textId="77777777" w:rsidR="0087046A" w:rsidRPr="0087046A" w:rsidRDefault="0087046A" w:rsidP="0002235C">
            <w:pPr>
              <w:rPr>
                <w:sz w:val="18"/>
                <w:szCs w:val="18"/>
              </w:rPr>
            </w:pPr>
            <w:r w:rsidRPr="0087046A">
              <w:rPr>
                <w:sz w:val="18"/>
                <w:szCs w:val="18"/>
              </w:rPr>
              <w:t>0459 873 539</w:t>
            </w:r>
          </w:p>
          <w:p w14:paraId="081668CA" w14:textId="7DB614D2" w:rsidR="0087046A" w:rsidRPr="0087046A" w:rsidRDefault="0087046A" w:rsidP="0002235C">
            <w:pPr>
              <w:rPr>
                <w:sz w:val="18"/>
                <w:szCs w:val="18"/>
              </w:rPr>
            </w:pPr>
            <w:r w:rsidRPr="0087046A">
              <w:rPr>
                <w:sz w:val="18"/>
                <w:szCs w:val="18"/>
              </w:rPr>
              <w:t>Ethan.Song@oir.qld.gov.au</w:t>
            </w:r>
          </w:p>
          <w:p w14:paraId="59C2DF2E" w14:textId="3DE87D4B" w:rsidR="0087046A" w:rsidRPr="000D7A82" w:rsidRDefault="0087046A" w:rsidP="0002235C">
            <w:pPr>
              <w:rPr>
                <w:b/>
                <w:bCs/>
                <w:sz w:val="18"/>
                <w:szCs w:val="18"/>
              </w:rPr>
            </w:pPr>
          </w:p>
        </w:tc>
        <w:tc>
          <w:tcPr>
            <w:tcW w:w="4743" w:type="dxa"/>
            <w:vMerge/>
            <w:shd w:val="clear" w:color="auto" w:fill="auto"/>
          </w:tcPr>
          <w:p w14:paraId="6163178B" w14:textId="77777777" w:rsidR="00FE46FF" w:rsidRPr="000D7A82" w:rsidRDefault="00FE46FF" w:rsidP="0002235C">
            <w:pPr>
              <w:rPr>
                <w:b/>
                <w:bCs/>
                <w:sz w:val="18"/>
                <w:szCs w:val="18"/>
              </w:rPr>
            </w:pPr>
          </w:p>
        </w:tc>
      </w:tr>
      <w:tr w:rsidR="00FE46FF" w:rsidRPr="00201676" w14:paraId="01B8093F" w14:textId="318B207D" w:rsidTr="008F767F">
        <w:trPr>
          <w:trHeight w:val="787"/>
        </w:trPr>
        <w:tc>
          <w:tcPr>
            <w:tcW w:w="961" w:type="dxa"/>
            <w:shd w:val="clear" w:color="auto" w:fill="F2F2F2" w:themeFill="background1" w:themeFillShade="F2"/>
          </w:tcPr>
          <w:p w14:paraId="3A88236B" w14:textId="4732E841" w:rsidR="00FE46FF" w:rsidRPr="000D7A82" w:rsidRDefault="00FE46FF" w:rsidP="0002235C">
            <w:pPr>
              <w:rPr>
                <w:b/>
                <w:bCs/>
                <w:noProof/>
                <w:sz w:val="18"/>
                <w:szCs w:val="18"/>
              </w:rPr>
            </w:pPr>
            <w:r w:rsidRPr="000D7A82">
              <w:rPr>
                <w:b/>
                <w:bCs/>
                <w:noProof/>
                <w:sz w:val="18"/>
                <w:szCs w:val="18"/>
              </w:rPr>
              <w:drawing>
                <wp:inline distT="0" distB="0" distL="0" distR="0" wp14:anchorId="0704E7EC" wp14:editId="62420832">
                  <wp:extent cx="396240" cy="396240"/>
                  <wp:effectExtent l="0" t="0" r="0" b="3810"/>
                  <wp:docPr id="3" name="Graphic 3" descr="Pap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Paper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00615" cy="400615"/>
                          </a:xfrm>
                          <a:prstGeom prst="rect">
                            <a:avLst/>
                          </a:prstGeom>
                        </pic:spPr>
                      </pic:pic>
                    </a:graphicData>
                  </a:graphic>
                </wp:inline>
              </w:drawing>
            </w:r>
          </w:p>
        </w:tc>
        <w:tc>
          <w:tcPr>
            <w:tcW w:w="4742" w:type="dxa"/>
            <w:shd w:val="clear" w:color="auto" w:fill="F2F2F2" w:themeFill="background1" w:themeFillShade="F2"/>
          </w:tcPr>
          <w:p w14:paraId="1A416099" w14:textId="77777777" w:rsidR="00FE46FF" w:rsidRPr="00F40135" w:rsidRDefault="00FE46FF" w:rsidP="0002235C">
            <w:pPr>
              <w:rPr>
                <w:b/>
                <w:bCs/>
                <w:sz w:val="18"/>
                <w:szCs w:val="18"/>
              </w:rPr>
            </w:pPr>
            <w:r w:rsidRPr="00F40135">
              <w:rPr>
                <w:b/>
                <w:bCs/>
                <w:sz w:val="18"/>
                <w:szCs w:val="18"/>
              </w:rPr>
              <w:t>Job ad reference</w:t>
            </w:r>
          </w:p>
          <w:p w14:paraId="13C380FD" w14:textId="3DFE986B" w:rsidR="00FE46FF" w:rsidRPr="00446E54" w:rsidRDefault="00446E54" w:rsidP="0002235C">
            <w:pPr>
              <w:rPr>
                <w:sz w:val="18"/>
                <w:szCs w:val="18"/>
              </w:rPr>
            </w:pPr>
            <w:r w:rsidRPr="00446E54">
              <w:rPr>
                <w:sz w:val="18"/>
                <w:szCs w:val="18"/>
              </w:rPr>
              <w:t>QLD/575807/24</w:t>
            </w:r>
          </w:p>
        </w:tc>
        <w:tc>
          <w:tcPr>
            <w:tcW w:w="4743" w:type="dxa"/>
            <w:vMerge/>
            <w:shd w:val="clear" w:color="auto" w:fill="auto"/>
          </w:tcPr>
          <w:p w14:paraId="416A31F4" w14:textId="77777777" w:rsidR="00FE46FF" w:rsidRPr="00F40135" w:rsidRDefault="00FE46FF" w:rsidP="0002235C">
            <w:pPr>
              <w:rPr>
                <w:b/>
                <w:bCs/>
                <w:sz w:val="18"/>
                <w:szCs w:val="18"/>
              </w:rPr>
            </w:pPr>
          </w:p>
        </w:tc>
      </w:tr>
      <w:tr w:rsidR="00FE46FF" w:rsidRPr="00201676" w14:paraId="0C13A252" w14:textId="220B2F9D" w:rsidTr="008F767F">
        <w:trPr>
          <w:trHeight w:val="787"/>
        </w:trPr>
        <w:tc>
          <w:tcPr>
            <w:tcW w:w="961" w:type="dxa"/>
            <w:shd w:val="clear" w:color="auto" w:fill="F2F2F2" w:themeFill="background1" w:themeFillShade="F2"/>
          </w:tcPr>
          <w:p w14:paraId="03CCB566" w14:textId="46B57919" w:rsidR="00FE46FF" w:rsidRPr="000D7A82" w:rsidRDefault="00FE46FF" w:rsidP="0002235C">
            <w:pPr>
              <w:rPr>
                <w:b/>
                <w:bCs/>
                <w:noProof/>
                <w:sz w:val="18"/>
                <w:szCs w:val="18"/>
              </w:rPr>
            </w:pPr>
            <w:r w:rsidRPr="000D7A82">
              <w:rPr>
                <w:b/>
                <w:bCs/>
                <w:noProof/>
                <w:sz w:val="18"/>
                <w:szCs w:val="18"/>
              </w:rPr>
              <w:drawing>
                <wp:inline distT="0" distB="0" distL="0" distR="0" wp14:anchorId="3AF38BD3" wp14:editId="2C47EC07">
                  <wp:extent cx="396815" cy="396815"/>
                  <wp:effectExtent l="0" t="0" r="0" b="0"/>
                  <wp:docPr id="4" name="Graphic 4" descr="Monthly calend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Monthly calendar outline"/>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03195" cy="403195"/>
                          </a:xfrm>
                          <a:prstGeom prst="rect">
                            <a:avLst/>
                          </a:prstGeom>
                        </pic:spPr>
                      </pic:pic>
                    </a:graphicData>
                  </a:graphic>
                </wp:inline>
              </w:drawing>
            </w:r>
          </w:p>
        </w:tc>
        <w:tc>
          <w:tcPr>
            <w:tcW w:w="4742" w:type="dxa"/>
            <w:shd w:val="clear" w:color="auto" w:fill="F2F2F2" w:themeFill="background1" w:themeFillShade="F2"/>
          </w:tcPr>
          <w:p w14:paraId="5E36A23B" w14:textId="77777777" w:rsidR="00FE46FF" w:rsidRPr="00F40135" w:rsidRDefault="00FE46FF" w:rsidP="0002235C">
            <w:pPr>
              <w:rPr>
                <w:b/>
                <w:bCs/>
                <w:sz w:val="18"/>
                <w:szCs w:val="18"/>
              </w:rPr>
            </w:pPr>
            <w:r w:rsidRPr="00F40135">
              <w:rPr>
                <w:b/>
                <w:bCs/>
                <w:sz w:val="18"/>
                <w:szCs w:val="18"/>
              </w:rPr>
              <w:t>Closing date</w:t>
            </w:r>
          </w:p>
          <w:p w14:paraId="5F57C492" w14:textId="773D5810" w:rsidR="00FE46FF" w:rsidRPr="000D7A82" w:rsidRDefault="00446E54" w:rsidP="0002235C">
            <w:pPr>
              <w:rPr>
                <w:b/>
                <w:bCs/>
                <w:sz w:val="18"/>
                <w:szCs w:val="18"/>
              </w:rPr>
            </w:pPr>
            <w:r>
              <w:rPr>
                <w:sz w:val="18"/>
                <w:szCs w:val="18"/>
              </w:rPr>
              <w:t>Thursday, 18</w:t>
            </w:r>
            <w:r w:rsidRPr="00446E54">
              <w:rPr>
                <w:sz w:val="18"/>
                <w:szCs w:val="18"/>
                <w:vertAlign w:val="superscript"/>
              </w:rPr>
              <w:t>th</w:t>
            </w:r>
            <w:r>
              <w:rPr>
                <w:sz w:val="18"/>
                <w:szCs w:val="18"/>
              </w:rPr>
              <w:t xml:space="preserve"> July 2024</w:t>
            </w:r>
            <w:r w:rsidR="00FE46FF" w:rsidRPr="00F40135">
              <w:rPr>
                <w:sz w:val="18"/>
                <w:szCs w:val="18"/>
              </w:rPr>
              <w:t xml:space="preserve"> </w:t>
            </w:r>
          </w:p>
        </w:tc>
        <w:tc>
          <w:tcPr>
            <w:tcW w:w="4743" w:type="dxa"/>
            <w:vMerge/>
            <w:shd w:val="clear" w:color="auto" w:fill="auto"/>
          </w:tcPr>
          <w:p w14:paraId="222E68F0" w14:textId="77777777" w:rsidR="00FE46FF" w:rsidRPr="00F40135" w:rsidRDefault="00FE46FF" w:rsidP="0002235C">
            <w:pPr>
              <w:rPr>
                <w:b/>
                <w:bCs/>
                <w:sz w:val="18"/>
                <w:szCs w:val="18"/>
              </w:rPr>
            </w:pPr>
          </w:p>
        </w:tc>
      </w:tr>
      <w:tr w:rsidR="00FE46FF" w:rsidRPr="00201676" w14:paraId="493897BD" w14:textId="697C7CED" w:rsidTr="00B8679B">
        <w:trPr>
          <w:trHeight w:val="659"/>
        </w:trPr>
        <w:tc>
          <w:tcPr>
            <w:tcW w:w="961" w:type="dxa"/>
            <w:shd w:val="clear" w:color="auto" w:fill="F2F2F2" w:themeFill="background1" w:themeFillShade="F2"/>
          </w:tcPr>
          <w:p w14:paraId="6579D1B1" w14:textId="12A93B92" w:rsidR="00FE46FF" w:rsidRPr="000D7A82" w:rsidRDefault="00FE46FF" w:rsidP="0002235C">
            <w:pPr>
              <w:rPr>
                <w:b/>
                <w:bCs/>
                <w:noProof/>
                <w:sz w:val="18"/>
                <w:szCs w:val="18"/>
              </w:rPr>
            </w:pPr>
            <w:r w:rsidRPr="000D7A82">
              <w:rPr>
                <w:b/>
                <w:bCs/>
                <w:noProof/>
                <w:sz w:val="18"/>
                <w:szCs w:val="18"/>
              </w:rPr>
              <w:drawing>
                <wp:inline distT="0" distB="0" distL="0" distR="0" wp14:anchorId="015EFD3A" wp14:editId="34253B7D">
                  <wp:extent cx="387985" cy="387985"/>
                  <wp:effectExtent l="0" t="0" r="0" b="0"/>
                  <wp:docPr id="5" name="Graphic 5" descr="Us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User outline"/>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93236" cy="393236"/>
                          </a:xfrm>
                          <a:prstGeom prst="rect">
                            <a:avLst/>
                          </a:prstGeom>
                        </pic:spPr>
                      </pic:pic>
                    </a:graphicData>
                  </a:graphic>
                </wp:inline>
              </w:drawing>
            </w:r>
          </w:p>
        </w:tc>
        <w:tc>
          <w:tcPr>
            <w:tcW w:w="4742" w:type="dxa"/>
            <w:shd w:val="clear" w:color="auto" w:fill="F2F2F2" w:themeFill="background1" w:themeFillShade="F2"/>
          </w:tcPr>
          <w:p w14:paraId="0D6E6E90" w14:textId="0C7EB853" w:rsidR="002C488D" w:rsidRPr="00F40135" w:rsidRDefault="00FE46FF" w:rsidP="00BA473F">
            <w:pPr>
              <w:rPr>
                <w:b/>
                <w:bCs/>
                <w:sz w:val="18"/>
                <w:szCs w:val="18"/>
              </w:rPr>
            </w:pPr>
            <w:r w:rsidRPr="000D7A82">
              <w:rPr>
                <w:sz w:val="18"/>
                <w:szCs w:val="18"/>
              </w:rPr>
              <w:t>This role is open to all applicants</w:t>
            </w:r>
            <w:r w:rsidR="00F8349F">
              <w:rPr>
                <w:sz w:val="18"/>
                <w:szCs w:val="18"/>
              </w:rPr>
              <w:t xml:space="preserve"> and we </w:t>
            </w:r>
            <w:r w:rsidRPr="000D7A82">
              <w:rPr>
                <w:sz w:val="18"/>
                <w:szCs w:val="18"/>
              </w:rPr>
              <w:t>encourage applications from people with</w:t>
            </w:r>
            <w:r w:rsidR="00F8349F">
              <w:rPr>
                <w:sz w:val="18"/>
                <w:szCs w:val="18"/>
              </w:rPr>
              <w:t xml:space="preserve"> </w:t>
            </w:r>
            <w:r w:rsidRPr="000D7A82">
              <w:rPr>
                <w:sz w:val="18"/>
                <w:szCs w:val="18"/>
              </w:rPr>
              <w:t>diverse backgrounds</w:t>
            </w:r>
            <w:r w:rsidR="00F8349F">
              <w:rPr>
                <w:sz w:val="18"/>
                <w:szCs w:val="18"/>
              </w:rPr>
              <w:t>.</w:t>
            </w:r>
          </w:p>
        </w:tc>
        <w:tc>
          <w:tcPr>
            <w:tcW w:w="4743" w:type="dxa"/>
            <w:vMerge/>
            <w:shd w:val="clear" w:color="auto" w:fill="auto"/>
          </w:tcPr>
          <w:p w14:paraId="67D183B6" w14:textId="77777777" w:rsidR="00FE46FF" w:rsidRPr="000D7A82" w:rsidRDefault="00FE46FF" w:rsidP="0002235C">
            <w:pPr>
              <w:rPr>
                <w:sz w:val="18"/>
                <w:szCs w:val="18"/>
              </w:rPr>
            </w:pPr>
          </w:p>
        </w:tc>
      </w:tr>
    </w:tbl>
    <w:p w14:paraId="5E194183" w14:textId="77777777" w:rsidR="005429BD" w:rsidRPr="0024413D" w:rsidRDefault="005429BD" w:rsidP="00BA473F">
      <w:pPr>
        <w:spacing w:before="120"/>
        <w:rPr>
          <w:sz w:val="28"/>
          <w:szCs w:val="28"/>
        </w:rPr>
      </w:pPr>
      <w:r w:rsidRPr="0024413D">
        <w:rPr>
          <w:sz w:val="28"/>
          <w:szCs w:val="28"/>
        </w:rPr>
        <w:t>What you can expect in this role</w:t>
      </w:r>
    </w:p>
    <w:p w14:paraId="525B9099" w14:textId="77777777" w:rsidR="00F6143B" w:rsidRDefault="00E25F97" w:rsidP="0002235C">
      <w:r w:rsidRPr="005E0773">
        <w:t xml:space="preserve">As the </w:t>
      </w:r>
      <w:r w:rsidR="0087046A">
        <w:t>Team Leader, Authorisations,</w:t>
      </w:r>
      <w:r w:rsidR="00F40135">
        <w:t xml:space="preserve"> </w:t>
      </w:r>
      <w:r w:rsidRPr="005E0773">
        <w:t xml:space="preserve">you will work autonomously and </w:t>
      </w:r>
      <w:r>
        <w:t>lead</w:t>
      </w:r>
      <w:r w:rsidR="0087046A">
        <w:t>, mentor and train</w:t>
      </w:r>
      <w:r>
        <w:t xml:space="preserve"> the</w:t>
      </w:r>
      <w:r w:rsidR="0087046A">
        <w:t xml:space="preserve"> Authorisations team</w:t>
      </w:r>
      <w:r w:rsidR="00F40135">
        <w:t xml:space="preserve"> </w:t>
      </w:r>
      <w:r>
        <w:t xml:space="preserve">in </w:t>
      </w:r>
      <w:r w:rsidR="0087046A">
        <w:t xml:space="preserve">Licensing and Regulatory Interventions (LARI) to improve business performance. </w:t>
      </w:r>
    </w:p>
    <w:p w14:paraId="09F3216D" w14:textId="4F0D11C6" w:rsidR="00E25F97" w:rsidRPr="005E0773" w:rsidRDefault="00F6143B" w:rsidP="0002235C">
      <w:r>
        <w:t xml:space="preserve">The Authorisations team </w:t>
      </w:r>
      <w:r w:rsidR="00F76767">
        <w:t>i</w:t>
      </w:r>
      <w:r w:rsidR="00F76767" w:rsidRPr="00F76767">
        <w:t>mplements the licensing and authorisations framework including high risk work, accredited assessors, asbestos removalist and assessor, demolition and plant registration</w:t>
      </w:r>
      <w:r w:rsidR="00F76767">
        <w:t>. The Team Leader, Authorisations,</w:t>
      </w:r>
      <w:r w:rsidR="0087046A">
        <w:t xml:space="preserve"> </w:t>
      </w:r>
      <w:r w:rsidR="00F76767">
        <w:t>is responsible for ensuring</w:t>
      </w:r>
      <w:r w:rsidR="0021362E">
        <w:t xml:space="preserve"> the processing of in-scope licences and authorisations are undertaken in accordance with legislation, policies and procedures; </w:t>
      </w:r>
      <w:r w:rsidR="00F76767">
        <w:t>managing</w:t>
      </w:r>
      <w:r w:rsidR="0021362E">
        <w:t xml:space="preserve"> issues involving external stakeholders; and </w:t>
      </w:r>
      <w:r w:rsidR="00F76767">
        <w:t>developing</w:t>
      </w:r>
      <w:r w:rsidR="0021362E">
        <w:t xml:space="preserve"> strategies to improve efficiencies and service delivery to all clients of the unit.</w:t>
      </w:r>
    </w:p>
    <w:p w14:paraId="4F55F61D" w14:textId="77777777" w:rsidR="005E0773" w:rsidRPr="005E0773" w:rsidRDefault="0093745A" w:rsidP="0002235C">
      <w:r>
        <w:t xml:space="preserve">Key </w:t>
      </w:r>
      <w:r w:rsidR="005429BD" w:rsidRPr="005E0773">
        <w:t>responsibilities include</w:t>
      </w:r>
      <w:r w:rsidR="00027035">
        <w:t>:</w:t>
      </w:r>
    </w:p>
    <w:p w14:paraId="7E391578" w14:textId="1FE93F03" w:rsidR="0021362E" w:rsidRPr="0021362E" w:rsidRDefault="0021362E" w:rsidP="0021362E">
      <w:pPr>
        <w:pStyle w:val="ListParagraph"/>
        <w:numPr>
          <w:ilvl w:val="0"/>
          <w:numId w:val="21"/>
        </w:numPr>
        <w:rPr>
          <w:rFonts w:ascii="Arial" w:hAnsi="Arial" w:cs="Arial"/>
        </w:rPr>
      </w:pPr>
      <w:bookmarkStart w:id="0" w:name="_Hlk160435093"/>
      <w:r w:rsidRPr="0021362E">
        <w:rPr>
          <w:rFonts w:ascii="Arial" w:hAnsi="Arial" w:cs="Arial"/>
        </w:rPr>
        <w:t>Provide a supervisory, mentoring and support role to ensure the team performs effectively and objectives are delivered on time and to quality standards.</w:t>
      </w:r>
    </w:p>
    <w:p w14:paraId="6EF9AA5B" w14:textId="2769A079" w:rsidR="0021362E" w:rsidRPr="0021362E" w:rsidRDefault="0021362E" w:rsidP="0021362E">
      <w:pPr>
        <w:pStyle w:val="ListParagraph"/>
        <w:numPr>
          <w:ilvl w:val="0"/>
          <w:numId w:val="21"/>
        </w:numPr>
        <w:rPr>
          <w:rFonts w:ascii="Arial" w:hAnsi="Arial" w:cs="Arial"/>
        </w:rPr>
      </w:pPr>
      <w:r w:rsidRPr="0021362E">
        <w:rPr>
          <w:rFonts w:ascii="Arial" w:hAnsi="Arial" w:cs="Arial"/>
        </w:rPr>
        <w:t xml:space="preserve">Set priorities, monitor and report on the delivery of services and the work performance of teams and individuals in LARI to ensure that performance targets are met. </w:t>
      </w:r>
    </w:p>
    <w:p w14:paraId="7B09585F" w14:textId="17B2EA6E" w:rsidR="0021362E" w:rsidRPr="0021362E" w:rsidRDefault="0021362E" w:rsidP="0021362E">
      <w:pPr>
        <w:pStyle w:val="ListParagraph"/>
        <w:numPr>
          <w:ilvl w:val="0"/>
          <w:numId w:val="21"/>
        </w:numPr>
        <w:rPr>
          <w:rFonts w:ascii="Arial" w:hAnsi="Arial" w:cs="Arial"/>
        </w:rPr>
      </w:pPr>
      <w:r w:rsidRPr="0021362E">
        <w:rPr>
          <w:rFonts w:ascii="Arial" w:hAnsi="Arial" w:cs="Arial"/>
        </w:rPr>
        <w:t>Assist management in the development and implementation of new business processes, practices, systems and procedures to improve efficiencies of LARI and deliver superior client service.</w:t>
      </w:r>
    </w:p>
    <w:p w14:paraId="30902355" w14:textId="7F20DB93" w:rsidR="0021362E" w:rsidRPr="0021362E" w:rsidRDefault="0021362E" w:rsidP="0021362E">
      <w:pPr>
        <w:pStyle w:val="ListParagraph"/>
        <w:numPr>
          <w:ilvl w:val="0"/>
          <w:numId w:val="21"/>
        </w:numPr>
        <w:rPr>
          <w:rFonts w:ascii="Arial" w:hAnsi="Arial" w:cs="Arial"/>
        </w:rPr>
      </w:pPr>
      <w:r w:rsidRPr="0021362E">
        <w:rPr>
          <w:rFonts w:ascii="Arial" w:hAnsi="Arial" w:cs="Arial"/>
        </w:rPr>
        <w:t>Maintain knowledge of workplace health and safety legislation, internal/external policies and procedures and licensing requirements.</w:t>
      </w:r>
    </w:p>
    <w:p w14:paraId="24A8403C" w14:textId="60BA7EF1" w:rsidR="0021362E" w:rsidRPr="0021362E" w:rsidRDefault="0021362E" w:rsidP="0021362E">
      <w:pPr>
        <w:pStyle w:val="ListParagraph"/>
        <w:numPr>
          <w:ilvl w:val="0"/>
          <w:numId w:val="21"/>
        </w:numPr>
        <w:rPr>
          <w:rFonts w:ascii="Arial" w:hAnsi="Arial" w:cs="Arial"/>
        </w:rPr>
      </w:pPr>
      <w:r w:rsidRPr="0021362E">
        <w:rPr>
          <w:rFonts w:ascii="Arial" w:hAnsi="Arial" w:cs="Arial"/>
        </w:rPr>
        <w:t>Identify trends in client issues and attitudes through surveys and management information system statistics and provide advice and feedback to the Manager</w:t>
      </w:r>
      <w:r w:rsidR="00254960">
        <w:rPr>
          <w:rFonts w:ascii="Arial" w:hAnsi="Arial" w:cs="Arial"/>
        </w:rPr>
        <w:t>, Authorisations</w:t>
      </w:r>
      <w:r w:rsidRPr="0021362E">
        <w:rPr>
          <w:rFonts w:ascii="Arial" w:hAnsi="Arial" w:cs="Arial"/>
        </w:rPr>
        <w:t>.</w:t>
      </w:r>
    </w:p>
    <w:p w14:paraId="6CEB74B5" w14:textId="77777777" w:rsidR="00254960" w:rsidRDefault="0021362E" w:rsidP="0021362E">
      <w:pPr>
        <w:pStyle w:val="ListParagraph"/>
        <w:numPr>
          <w:ilvl w:val="0"/>
          <w:numId w:val="21"/>
        </w:numPr>
        <w:rPr>
          <w:rFonts w:ascii="Arial" w:hAnsi="Arial" w:cs="Arial"/>
        </w:rPr>
      </w:pPr>
      <w:r w:rsidRPr="0021362E">
        <w:rPr>
          <w:rFonts w:ascii="Arial" w:hAnsi="Arial" w:cs="Arial"/>
        </w:rPr>
        <w:lastRenderedPageBreak/>
        <w:t>Consult, liaise and negotiate with external contractors and suppliers with a view to resolving issues which impact on service delivery of LARI.</w:t>
      </w:r>
    </w:p>
    <w:p w14:paraId="65B4F4CB" w14:textId="58C7328F" w:rsidR="0021362E" w:rsidRPr="0021362E" w:rsidRDefault="0021362E" w:rsidP="0021362E">
      <w:pPr>
        <w:pStyle w:val="ListParagraph"/>
        <w:numPr>
          <w:ilvl w:val="0"/>
          <w:numId w:val="21"/>
        </w:numPr>
        <w:rPr>
          <w:rFonts w:ascii="Arial" w:hAnsi="Arial" w:cs="Arial"/>
        </w:rPr>
      </w:pPr>
      <w:r w:rsidRPr="0021362E">
        <w:rPr>
          <w:rFonts w:ascii="Arial" w:hAnsi="Arial" w:cs="Arial"/>
        </w:rPr>
        <w:t>Review business and ICT systems used by LARI and recommend options for improvement including the management of the necessary implementation strategies.</w:t>
      </w:r>
    </w:p>
    <w:p w14:paraId="6A1FF605" w14:textId="40A76926" w:rsidR="0021362E" w:rsidRPr="0021362E" w:rsidRDefault="0021362E" w:rsidP="0021362E">
      <w:pPr>
        <w:pStyle w:val="ListParagraph"/>
        <w:numPr>
          <w:ilvl w:val="0"/>
          <w:numId w:val="21"/>
        </w:numPr>
        <w:rPr>
          <w:rFonts w:ascii="Arial" w:hAnsi="Arial" w:cs="Arial"/>
        </w:rPr>
      </w:pPr>
      <w:r w:rsidRPr="0021362E">
        <w:rPr>
          <w:rFonts w:ascii="Arial" w:hAnsi="Arial" w:cs="Arial"/>
        </w:rPr>
        <w:t>Develop and co-ordinate structured training programs, including manuals, for staff of LARI across all processing systems, and play a lead role in the delivery of this training.</w:t>
      </w:r>
    </w:p>
    <w:p w14:paraId="672E1BB2" w14:textId="2FEF53E3" w:rsidR="0021362E" w:rsidRPr="0021362E" w:rsidRDefault="0021362E" w:rsidP="0021362E">
      <w:pPr>
        <w:pStyle w:val="ListParagraph"/>
        <w:numPr>
          <w:ilvl w:val="0"/>
          <w:numId w:val="21"/>
        </w:numPr>
        <w:rPr>
          <w:rFonts w:ascii="Arial" w:hAnsi="Arial" w:cs="Arial"/>
        </w:rPr>
      </w:pPr>
      <w:r w:rsidRPr="0021362E">
        <w:rPr>
          <w:rFonts w:ascii="Arial" w:hAnsi="Arial" w:cs="Arial"/>
        </w:rPr>
        <w:t>Manage ad-hoc projects and undertake other duties as required such as participation on phones when demand necessitates or additional duties as required by the Authorisations and Advisory Services Manager.</w:t>
      </w:r>
    </w:p>
    <w:p w14:paraId="6EE95B7F" w14:textId="37AD2673" w:rsidR="0021362E" w:rsidRPr="0021362E" w:rsidRDefault="0021362E" w:rsidP="0021362E">
      <w:pPr>
        <w:pStyle w:val="ListParagraph"/>
        <w:numPr>
          <w:ilvl w:val="0"/>
          <w:numId w:val="21"/>
        </w:numPr>
        <w:rPr>
          <w:rFonts w:ascii="Arial" w:hAnsi="Arial" w:cs="Arial"/>
        </w:rPr>
      </w:pPr>
      <w:r w:rsidRPr="0021362E">
        <w:rPr>
          <w:rFonts w:ascii="Arial" w:hAnsi="Arial" w:cs="Arial"/>
        </w:rPr>
        <w:t>Undertake and report on projects of significance impacting on the processing of licences and authorisations by LARI.</w:t>
      </w:r>
    </w:p>
    <w:p w14:paraId="0967FD31" w14:textId="55178DB4" w:rsidR="0021362E" w:rsidRPr="0021362E" w:rsidRDefault="0021362E" w:rsidP="0021362E">
      <w:pPr>
        <w:pStyle w:val="ListParagraph"/>
        <w:numPr>
          <w:ilvl w:val="0"/>
          <w:numId w:val="21"/>
        </w:numPr>
        <w:rPr>
          <w:rFonts w:ascii="Arial" w:hAnsi="Arial" w:cs="Arial"/>
        </w:rPr>
      </w:pPr>
      <w:r w:rsidRPr="0021362E">
        <w:rPr>
          <w:rFonts w:ascii="Arial" w:hAnsi="Arial" w:cs="Arial"/>
        </w:rPr>
        <w:t>Actively participate in the promotion of a discrimination free workplace culture that values equity and diversity.</w:t>
      </w:r>
    </w:p>
    <w:p w14:paraId="4D3531B6" w14:textId="4E408D3E" w:rsidR="006902DB" w:rsidRPr="005E0773" w:rsidRDefault="006902DB" w:rsidP="0021362E">
      <w:r>
        <w:t xml:space="preserve">Our </w:t>
      </w:r>
      <w:r w:rsidRPr="005E0773">
        <w:t>workforce needs to be agile to respond quickly to new and emerging priorities. You may be required to undertake alternative duties or work in alternative locations on a temporary or permanent basis to support service delivery.</w:t>
      </w:r>
    </w:p>
    <w:bookmarkEnd w:id="0"/>
    <w:p w14:paraId="7E72B931" w14:textId="173133CB" w:rsidR="00F162EE" w:rsidRPr="00F162EE" w:rsidRDefault="00F162EE" w:rsidP="00F162EE">
      <w:pPr>
        <w:rPr>
          <w:rFonts w:ascii="Calibri" w:hAnsi="Calibri"/>
          <w:sz w:val="22"/>
        </w:rPr>
      </w:pPr>
      <w:r w:rsidRPr="00F162EE">
        <w:t xml:space="preserve">This role is responsible for managing workers and has legislative obligations outlined in the </w:t>
      </w:r>
      <w:r w:rsidRPr="00F162EE">
        <w:rPr>
          <w:i/>
          <w:iCs/>
        </w:rPr>
        <w:t xml:space="preserve">Work Health and Safety Act 2011 (Qld) </w:t>
      </w:r>
      <w:r w:rsidRPr="00F162EE">
        <w:t>to identify and manage physical and psychological risks to health and safety through the implementation of and verification of controls. More information on how to manage psychosocial risks</w:t>
      </w:r>
      <w:r w:rsidRPr="00F162EE">
        <w:rPr>
          <w:i/>
          <w:iCs/>
        </w:rPr>
        <w:t xml:space="preserve"> </w:t>
      </w:r>
      <w:r w:rsidRPr="00F162EE">
        <w:t>is detailed in the</w:t>
      </w:r>
      <w:r w:rsidRPr="00F162EE">
        <w:rPr>
          <w:i/>
          <w:iCs/>
        </w:rPr>
        <w:t xml:space="preserve"> </w:t>
      </w:r>
      <w:hyperlink r:id="rId26" w:history="1">
        <w:r w:rsidRPr="00F162EE">
          <w:rPr>
            <w:rStyle w:val="Hyperlink"/>
            <w:i/>
            <w:iCs/>
          </w:rPr>
          <w:t xml:space="preserve">Managing the risk of psychosocial hazards at work </w:t>
        </w:r>
        <w:r w:rsidRPr="00F162EE">
          <w:rPr>
            <w:rStyle w:val="Hyperlink"/>
          </w:rPr>
          <w:t>Code of Practice (2022)</w:t>
        </w:r>
      </w:hyperlink>
      <w:r w:rsidRPr="00F162EE">
        <w:t>.</w:t>
      </w:r>
      <w:r>
        <w:rPr>
          <w:i/>
          <w:iCs/>
        </w:rPr>
        <w:t xml:space="preserve"> </w:t>
      </w:r>
      <w:r w:rsidRPr="00F162EE">
        <w:t>This role is also required to ensure workers</w:t>
      </w:r>
      <w:r w:rsidRPr="00F162EE">
        <w:rPr>
          <w:lang w:val="en-US"/>
        </w:rPr>
        <w:t xml:space="preserve"> are provided information, training and supervision to conduct work in a safe and compliant manner in accordance with OIR’s Health Safety Wellbeing Safety Management System.</w:t>
      </w:r>
      <w:r>
        <w:rPr>
          <w:lang w:val="en-US"/>
        </w:rPr>
        <w:t xml:space="preserve"> </w:t>
      </w:r>
    </w:p>
    <w:p w14:paraId="7FD80484" w14:textId="77777777" w:rsidR="005429BD" w:rsidRPr="00027035" w:rsidRDefault="005429BD" w:rsidP="00BA473F">
      <w:pPr>
        <w:spacing w:before="120"/>
        <w:rPr>
          <w:sz w:val="28"/>
          <w:szCs w:val="28"/>
        </w:rPr>
      </w:pPr>
      <w:r w:rsidRPr="00027035">
        <w:rPr>
          <w:sz w:val="28"/>
          <w:szCs w:val="28"/>
        </w:rPr>
        <w:t xml:space="preserve">What we are looking for </w:t>
      </w:r>
    </w:p>
    <w:p w14:paraId="1D323317" w14:textId="7A149FBB" w:rsidR="00811F17" w:rsidRDefault="00255758" w:rsidP="0002235C">
      <w:r>
        <w:t xml:space="preserve">We will confirm </w:t>
      </w:r>
      <w:r w:rsidR="00EC0262">
        <w:t xml:space="preserve">your eligibility and suitability for this role by considering your </w:t>
      </w:r>
      <w:r w:rsidR="00A12BD3">
        <w:t>abilities, aptitude, skills, qualifications, knowledge, experience and personal qualities</w:t>
      </w:r>
      <w:r w:rsidR="00EC0262">
        <w:t xml:space="preserve">. We’ll also </w:t>
      </w:r>
      <w:r w:rsidR="00705E3A">
        <w:t xml:space="preserve">consider the way you have carried out previous employment, </w:t>
      </w:r>
      <w:r w:rsidR="008F767F">
        <w:t xml:space="preserve">your </w:t>
      </w:r>
      <w:r w:rsidR="00705E3A">
        <w:t xml:space="preserve">potential </w:t>
      </w:r>
      <w:r w:rsidR="008F767F">
        <w:t xml:space="preserve">for future </w:t>
      </w:r>
      <w:r w:rsidR="00705E3A">
        <w:t xml:space="preserve">contribution </w:t>
      </w:r>
      <w:r w:rsidR="00EC0262">
        <w:t xml:space="preserve">and how you </w:t>
      </w:r>
      <w:r w:rsidR="008F767F">
        <w:t xml:space="preserve">could enhance </w:t>
      </w:r>
      <w:r w:rsidR="00705E3A">
        <w:t>equity, diversity, respect and inclusion</w:t>
      </w:r>
      <w:r w:rsidR="00EC0262">
        <w:t xml:space="preserve"> </w:t>
      </w:r>
      <w:r w:rsidR="008F767F">
        <w:t>at the OIR.</w:t>
      </w: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274"/>
      </w:tblGrid>
      <w:tr w:rsidR="0093745A" w:rsidRPr="0093745A" w14:paraId="699A93A0" w14:textId="77777777" w:rsidTr="005D42EA">
        <w:trPr>
          <w:trHeight w:val="689"/>
        </w:trPr>
        <w:tc>
          <w:tcPr>
            <w:tcW w:w="1701" w:type="dxa"/>
            <w:shd w:val="clear" w:color="auto" w:fill="auto"/>
          </w:tcPr>
          <w:p w14:paraId="29DECC01" w14:textId="77777777" w:rsidR="0093745A" w:rsidRPr="0093745A" w:rsidRDefault="0093745A" w:rsidP="0002235C">
            <w:pPr>
              <w:spacing w:before="120" w:after="120"/>
            </w:pPr>
            <w:r w:rsidRPr="0093745A">
              <w:t>Mandatory qualifications or conditions</w:t>
            </w:r>
          </w:p>
        </w:tc>
        <w:tc>
          <w:tcPr>
            <w:tcW w:w="9274" w:type="dxa"/>
            <w:shd w:val="clear" w:color="auto" w:fill="auto"/>
          </w:tcPr>
          <w:p w14:paraId="63450340" w14:textId="63BE9EAC" w:rsidR="006A1AE3" w:rsidRPr="0093745A" w:rsidRDefault="0021362E" w:rsidP="0021362E">
            <w:pPr>
              <w:spacing w:before="120" w:after="120"/>
            </w:pPr>
            <w:r w:rsidRPr="0021362E">
              <w:t>Nil</w:t>
            </w:r>
            <w:r w:rsidR="007E3250">
              <w:t xml:space="preserve"> </w:t>
            </w:r>
          </w:p>
        </w:tc>
      </w:tr>
      <w:tr w:rsidR="0093745A" w:rsidRPr="0093745A" w14:paraId="5B611B46" w14:textId="77777777" w:rsidTr="005D42EA">
        <w:trPr>
          <w:trHeight w:val="459"/>
        </w:trPr>
        <w:tc>
          <w:tcPr>
            <w:tcW w:w="1701" w:type="dxa"/>
            <w:shd w:val="clear" w:color="auto" w:fill="auto"/>
          </w:tcPr>
          <w:p w14:paraId="6A1E581C" w14:textId="77777777" w:rsidR="0093745A" w:rsidRPr="0093745A" w:rsidRDefault="0093745A" w:rsidP="0002235C">
            <w:pPr>
              <w:spacing w:before="120" w:after="120"/>
            </w:pPr>
            <w:r w:rsidRPr="0093745A">
              <w:t>Core capabilities</w:t>
            </w:r>
          </w:p>
        </w:tc>
        <w:tc>
          <w:tcPr>
            <w:tcW w:w="9274" w:type="dxa"/>
            <w:shd w:val="clear" w:color="auto" w:fill="auto"/>
          </w:tcPr>
          <w:p w14:paraId="29271519" w14:textId="268112A8" w:rsidR="0093745A" w:rsidRPr="00A755FF" w:rsidRDefault="00A755FF" w:rsidP="0002235C">
            <w:pPr>
              <w:spacing w:before="120" w:after="120"/>
            </w:pPr>
            <w:r w:rsidRPr="00A755FF">
              <w:t xml:space="preserve">Role competencies are aligned with the </w:t>
            </w:r>
            <w:hyperlink r:id="rId27" w:history="1">
              <w:r w:rsidRPr="00A755FF">
                <w:rPr>
                  <w:rStyle w:val="Hyperlink"/>
                </w:rPr>
                <w:t>Leadership competencies for Queensland</w:t>
              </w:r>
            </w:hyperlink>
            <w:r w:rsidRPr="00A755FF">
              <w:t xml:space="preserve"> under the leadership stream: </w:t>
            </w:r>
            <w:sdt>
              <w:sdtPr>
                <w:alias w:val="Leadership stream"/>
                <w:tag w:val="Leadership stream"/>
                <w:id w:val="-1034873734"/>
                <w:placeholder>
                  <w:docPart w:val="58262547A25F43C8B20D6B1080779892"/>
                </w:placeholder>
                <w:dropDownList>
                  <w:listItem w:value="Choose an item."/>
                  <w:listItem w:displayText="Individual contributor" w:value="Individual contributor"/>
                  <w:listItem w:displayText="Team Leader" w:value="Team Leader"/>
                  <w:listItem w:displayText="Program leader" w:value="Program leader"/>
                  <w:listItem w:displayText="Executive" w:value="Executive"/>
                </w:dropDownList>
              </w:sdtPr>
              <w:sdtEndPr/>
              <w:sdtContent>
                <w:r w:rsidR="0021362E" w:rsidRPr="0021362E">
                  <w:t>Team Leader</w:t>
                </w:r>
              </w:sdtContent>
            </w:sdt>
            <w:r w:rsidR="006A1AE3">
              <w:t xml:space="preserve"> </w:t>
            </w:r>
          </w:p>
        </w:tc>
      </w:tr>
      <w:tr w:rsidR="0093745A" w:rsidRPr="0093745A" w14:paraId="1C8FAD45" w14:textId="77777777" w:rsidTr="0021362E">
        <w:trPr>
          <w:trHeight w:val="3361"/>
        </w:trPr>
        <w:tc>
          <w:tcPr>
            <w:tcW w:w="1701" w:type="dxa"/>
            <w:shd w:val="clear" w:color="auto" w:fill="auto"/>
          </w:tcPr>
          <w:p w14:paraId="3760394D" w14:textId="77777777" w:rsidR="0093745A" w:rsidRPr="0093745A" w:rsidRDefault="0093745A" w:rsidP="0002235C">
            <w:pPr>
              <w:spacing w:before="120" w:after="120"/>
            </w:pPr>
            <w:r w:rsidRPr="0093745A">
              <w:t>Role specific capabilities</w:t>
            </w:r>
          </w:p>
        </w:tc>
        <w:tc>
          <w:tcPr>
            <w:tcW w:w="9274" w:type="dxa"/>
            <w:shd w:val="clear" w:color="auto" w:fill="auto"/>
          </w:tcPr>
          <w:p w14:paraId="1918E13B" w14:textId="08EBC83C" w:rsidR="0021362E" w:rsidRPr="0021362E" w:rsidRDefault="0021362E" w:rsidP="0021362E">
            <w:pPr>
              <w:pStyle w:val="ListParagraph"/>
              <w:numPr>
                <w:ilvl w:val="0"/>
                <w:numId w:val="25"/>
              </w:numPr>
              <w:spacing w:before="120" w:after="120" w:line="240" w:lineRule="auto"/>
              <w:ind w:left="453" w:hanging="453"/>
              <w:rPr>
                <w:rFonts w:ascii="Arial" w:hAnsi="Arial" w:cs="Arial"/>
              </w:rPr>
            </w:pPr>
            <w:r w:rsidRPr="0021362E">
              <w:rPr>
                <w:rFonts w:ascii="Arial" w:hAnsi="Arial" w:cs="Arial"/>
              </w:rPr>
              <w:t>Have well developed supervision skills as evidenced by the ability to lead and direct staff in undertaking new and innovative processes and procedures, including developing staff and delivering relevant training.</w:t>
            </w:r>
          </w:p>
          <w:p w14:paraId="6A85468F" w14:textId="72671216" w:rsidR="0021362E" w:rsidRPr="0021362E" w:rsidRDefault="0021362E" w:rsidP="0021362E">
            <w:pPr>
              <w:pStyle w:val="ListParagraph"/>
              <w:numPr>
                <w:ilvl w:val="0"/>
                <w:numId w:val="25"/>
              </w:numPr>
              <w:spacing w:before="120" w:after="120" w:line="240" w:lineRule="auto"/>
              <w:ind w:left="453" w:hanging="453"/>
              <w:rPr>
                <w:rFonts w:ascii="Arial" w:hAnsi="Arial" w:cs="Arial"/>
              </w:rPr>
            </w:pPr>
            <w:r w:rsidRPr="0021362E">
              <w:rPr>
                <w:rFonts w:ascii="Arial" w:hAnsi="Arial" w:cs="Arial"/>
              </w:rPr>
              <w:t>Demonstrate highly developed interpersonal and communication skills, evidenced by the ability to manage teams in complex environments, build and manage relationships with contractors, suppliers and internal business units, and deliver client service to a broad range of people at all levels.</w:t>
            </w:r>
          </w:p>
          <w:p w14:paraId="15F0C9A6" w14:textId="2F9A2A85" w:rsidR="0021362E" w:rsidRPr="0021362E" w:rsidRDefault="0021362E" w:rsidP="0021362E">
            <w:pPr>
              <w:pStyle w:val="ListParagraph"/>
              <w:numPr>
                <w:ilvl w:val="0"/>
                <w:numId w:val="25"/>
              </w:numPr>
              <w:spacing w:before="120" w:after="120" w:line="240" w:lineRule="auto"/>
              <w:ind w:left="453" w:hanging="453"/>
              <w:rPr>
                <w:rFonts w:ascii="Arial" w:hAnsi="Arial" w:cs="Arial"/>
              </w:rPr>
            </w:pPr>
            <w:r w:rsidRPr="0021362E">
              <w:rPr>
                <w:rFonts w:ascii="Arial" w:hAnsi="Arial" w:cs="Arial"/>
              </w:rPr>
              <w:t xml:space="preserve">Have sound knowledge of and proven ability to play a lead role in the operational management of a licensing processing unit. </w:t>
            </w:r>
          </w:p>
          <w:p w14:paraId="517495C8" w14:textId="04BD30C4" w:rsidR="0021362E" w:rsidRPr="0021362E" w:rsidRDefault="0021362E" w:rsidP="0021362E">
            <w:pPr>
              <w:pStyle w:val="ListParagraph"/>
              <w:numPr>
                <w:ilvl w:val="0"/>
                <w:numId w:val="25"/>
              </w:numPr>
              <w:spacing w:before="120" w:after="120" w:line="240" w:lineRule="auto"/>
              <w:ind w:left="453" w:hanging="453"/>
              <w:rPr>
                <w:rFonts w:ascii="Arial" w:hAnsi="Arial" w:cs="Arial"/>
              </w:rPr>
            </w:pPr>
            <w:r w:rsidRPr="0021362E">
              <w:rPr>
                <w:rFonts w:ascii="Arial" w:hAnsi="Arial" w:cs="Arial"/>
              </w:rPr>
              <w:t>Have sound knowledge of and demonstrated ability in project management, analytical, conceptual and problem-solving skills.</w:t>
            </w:r>
          </w:p>
          <w:p w14:paraId="5C546BD4" w14:textId="77777777" w:rsidR="0021362E" w:rsidRPr="0021362E" w:rsidRDefault="0021362E" w:rsidP="0021362E">
            <w:pPr>
              <w:pStyle w:val="ListParagraph"/>
              <w:numPr>
                <w:ilvl w:val="0"/>
                <w:numId w:val="25"/>
              </w:numPr>
              <w:spacing w:before="120" w:after="120" w:line="240" w:lineRule="auto"/>
              <w:ind w:left="453" w:hanging="453"/>
              <w:rPr>
                <w:rFonts w:ascii="Arial" w:hAnsi="Arial" w:cs="Arial"/>
              </w:rPr>
            </w:pPr>
            <w:r w:rsidRPr="0021362E">
              <w:rPr>
                <w:rFonts w:ascii="Arial" w:hAnsi="Arial" w:cs="Arial"/>
              </w:rPr>
              <w:t>Demonstrate ability to undertake data analysis and preliminary research and produce meaningful reports to assist with management decision-making</w:t>
            </w:r>
          </w:p>
          <w:p w14:paraId="7BEF0B41" w14:textId="299BE2B1" w:rsidR="0093745A" w:rsidRPr="0021362E" w:rsidRDefault="0021362E" w:rsidP="0021362E">
            <w:pPr>
              <w:pStyle w:val="ListParagraph"/>
              <w:numPr>
                <w:ilvl w:val="0"/>
                <w:numId w:val="25"/>
              </w:numPr>
              <w:spacing w:before="120" w:after="120" w:line="240" w:lineRule="auto"/>
              <w:ind w:left="453" w:hanging="453"/>
              <w:rPr>
                <w:rFonts w:ascii="Arial" w:hAnsi="Arial" w:cs="Arial"/>
              </w:rPr>
            </w:pPr>
            <w:r w:rsidRPr="0021362E">
              <w:rPr>
                <w:rFonts w:ascii="Arial" w:hAnsi="Arial" w:cs="Arial"/>
              </w:rPr>
              <w:t>Demonstrate ability to establish work priorities which reflect urgency and strategic importance with minimal supervision.</w:t>
            </w:r>
          </w:p>
        </w:tc>
      </w:tr>
    </w:tbl>
    <w:p w14:paraId="0CC0CDB8" w14:textId="77777777" w:rsidR="003268BA" w:rsidRDefault="003268BA" w:rsidP="00BA473F">
      <w:pPr>
        <w:spacing w:before="120"/>
        <w:rPr>
          <w:sz w:val="28"/>
          <w:szCs w:val="28"/>
        </w:rPr>
      </w:pPr>
    </w:p>
    <w:p w14:paraId="4325C3F3" w14:textId="77777777" w:rsidR="003268BA" w:rsidRDefault="003268BA">
      <w:pPr>
        <w:rPr>
          <w:sz w:val="28"/>
          <w:szCs w:val="28"/>
        </w:rPr>
      </w:pPr>
      <w:r>
        <w:rPr>
          <w:sz w:val="28"/>
          <w:szCs w:val="28"/>
        </w:rPr>
        <w:br w:type="page"/>
      </w:r>
    </w:p>
    <w:p w14:paraId="4EF6FA78" w14:textId="5BA0CEAE" w:rsidR="00CA3A0E" w:rsidRPr="00027035" w:rsidRDefault="00811F17" w:rsidP="00BA473F">
      <w:pPr>
        <w:spacing w:before="120"/>
        <w:rPr>
          <w:sz w:val="28"/>
          <w:szCs w:val="28"/>
        </w:rPr>
      </w:pPr>
      <w:r w:rsidRPr="00027035">
        <w:rPr>
          <w:sz w:val="28"/>
          <w:szCs w:val="28"/>
        </w:rPr>
        <w:lastRenderedPageBreak/>
        <w:t xml:space="preserve">How to apply </w:t>
      </w:r>
    </w:p>
    <w:p w14:paraId="678A668D" w14:textId="47EB18BB" w:rsidR="0060790E" w:rsidRPr="005D42EA" w:rsidRDefault="00EC0262" w:rsidP="0002235C">
      <w:r>
        <w:t xml:space="preserve">Apply </w:t>
      </w:r>
      <w:r w:rsidR="00CA3A0E" w:rsidRPr="005D42EA">
        <w:t xml:space="preserve">online </w:t>
      </w:r>
      <w:r>
        <w:t xml:space="preserve">at </w:t>
      </w:r>
      <w:hyperlink r:id="rId28" w:history="1">
        <w:r w:rsidR="00CA3A0E" w:rsidRPr="005D42EA">
          <w:rPr>
            <w:rStyle w:val="Hyperlink"/>
          </w:rPr>
          <w:t>www.smartjobs.qld.gov.au</w:t>
        </w:r>
      </w:hyperlink>
      <w:r>
        <w:t xml:space="preserve">. </w:t>
      </w:r>
      <w:r w:rsidR="0093745A" w:rsidRPr="005D42EA">
        <w:t>C</w:t>
      </w:r>
      <w:r w:rsidR="00CA3A0E" w:rsidRPr="005D42EA">
        <w:t>reate</w:t>
      </w:r>
      <w:r w:rsidR="0093745A" w:rsidRPr="005D42EA">
        <w:t xml:space="preserve"> </w:t>
      </w:r>
      <w:r w:rsidR="00CA3A0E" w:rsidRPr="005D42EA">
        <w:t xml:space="preserve">a ‘My SmartJob’ account </w:t>
      </w:r>
      <w:r>
        <w:t xml:space="preserve">to submit your application. </w:t>
      </w:r>
      <w:r w:rsidR="0060790E" w:rsidRPr="005D42EA">
        <w:t xml:space="preserve">Your application </w:t>
      </w:r>
      <w:r w:rsidR="0093745A" w:rsidRPr="005D42EA">
        <w:t xml:space="preserve">needs </w:t>
      </w:r>
      <w:r w:rsidR="00705E3A" w:rsidRPr="005D42EA">
        <w:t>to include:</w:t>
      </w:r>
    </w:p>
    <w:p w14:paraId="330313F3" w14:textId="01FA5161" w:rsidR="00F9789F" w:rsidRPr="0021362E" w:rsidRDefault="0060790E" w:rsidP="0002235C">
      <w:pPr>
        <w:pStyle w:val="ListParagraph"/>
        <w:numPr>
          <w:ilvl w:val="0"/>
          <w:numId w:val="17"/>
        </w:numPr>
        <w:rPr>
          <w:rFonts w:ascii="Arial" w:hAnsi="Arial" w:cs="Arial"/>
        </w:rPr>
      </w:pPr>
      <w:r w:rsidRPr="0021362E">
        <w:rPr>
          <w:rFonts w:ascii="Arial" w:hAnsi="Arial" w:cs="Arial"/>
        </w:rPr>
        <w:t>your current resume, including</w:t>
      </w:r>
      <w:r w:rsidR="0021362E">
        <w:rPr>
          <w:rFonts w:ascii="Arial" w:hAnsi="Arial" w:cs="Arial"/>
        </w:rPr>
        <w:t xml:space="preserve"> contact details </w:t>
      </w:r>
      <w:r w:rsidR="00EC0262" w:rsidRPr="0021362E">
        <w:rPr>
          <w:rFonts w:ascii="Arial" w:hAnsi="Arial" w:cs="Arial"/>
        </w:rPr>
        <w:t xml:space="preserve">for </w:t>
      </w:r>
      <w:r w:rsidR="00705E3A" w:rsidRPr="0021362E">
        <w:rPr>
          <w:rFonts w:ascii="Arial" w:hAnsi="Arial" w:cs="Arial"/>
        </w:rPr>
        <w:t xml:space="preserve">at least one referee who has thorough knowledge of your conduct and performance </w:t>
      </w:r>
      <w:r w:rsidR="00EC0262" w:rsidRPr="0021362E">
        <w:rPr>
          <w:rFonts w:ascii="Arial" w:hAnsi="Arial" w:cs="Arial"/>
        </w:rPr>
        <w:t xml:space="preserve">within </w:t>
      </w:r>
      <w:r w:rsidR="00705E3A" w:rsidRPr="0021362E">
        <w:rPr>
          <w:rFonts w:ascii="Arial" w:hAnsi="Arial" w:cs="Arial"/>
        </w:rPr>
        <w:t>the past two years</w:t>
      </w:r>
      <w:r w:rsidR="0021362E">
        <w:rPr>
          <w:rFonts w:ascii="Arial" w:hAnsi="Arial" w:cs="Arial"/>
        </w:rPr>
        <w:t>, and</w:t>
      </w:r>
    </w:p>
    <w:p w14:paraId="1821304A" w14:textId="4D694AF3" w:rsidR="0060790E" w:rsidRPr="0021362E" w:rsidRDefault="00705E3A" w:rsidP="0002235C">
      <w:pPr>
        <w:pStyle w:val="ListParagraph"/>
        <w:numPr>
          <w:ilvl w:val="0"/>
          <w:numId w:val="17"/>
        </w:numPr>
        <w:rPr>
          <w:rFonts w:ascii="Arial" w:hAnsi="Arial" w:cs="Arial"/>
        </w:rPr>
      </w:pPr>
      <w:r w:rsidRPr="0021362E">
        <w:rPr>
          <w:rFonts w:ascii="Arial" w:hAnsi="Arial" w:cs="Arial"/>
        </w:rPr>
        <w:t xml:space="preserve">a </w:t>
      </w:r>
      <w:r w:rsidR="0093745A" w:rsidRPr="0021362E">
        <w:rPr>
          <w:rFonts w:ascii="Arial" w:hAnsi="Arial" w:cs="Arial"/>
        </w:rPr>
        <w:t xml:space="preserve">letter or </w:t>
      </w:r>
      <w:r w:rsidR="0060790E" w:rsidRPr="0021362E">
        <w:rPr>
          <w:rFonts w:ascii="Arial" w:hAnsi="Arial" w:cs="Arial"/>
        </w:rPr>
        <w:t>statement (</w:t>
      </w:r>
      <w:r w:rsidR="0093745A" w:rsidRPr="0021362E">
        <w:rPr>
          <w:rFonts w:ascii="Arial" w:hAnsi="Arial" w:cs="Arial"/>
        </w:rPr>
        <w:t>one to two pages</w:t>
      </w:r>
      <w:r w:rsidR="0060790E" w:rsidRPr="0021362E">
        <w:rPr>
          <w:rFonts w:ascii="Arial" w:hAnsi="Arial" w:cs="Arial"/>
        </w:rPr>
        <w:t>)</w:t>
      </w:r>
      <w:r w:rsidR="0093745A" w:rsidRPr="0021362E">
        <w:rPr>
          <w:rFonts w:ascii="Arial" w:hAnsi="Arial" w:cs="Arial"/>
        </w:rPr>
        <w:t xml:space="preserve"> </w:t>
      </w:r>
      <w:r w:rsidR="00CA3A0E" w:rsidRPr="0021362E">
        <w:rPr>
          <w:rFonts w:ascii="Arial" w:hAnsi="Arial" w:cs="Arial"/>
        </w:rPr>
        <w:t xml:space="preserve">that </w:t>
      </w:r>
      <w:r w:rsidR="00EC0262" w:rsidRPr="0021362E">
        <w:rPr>
          <w:rFonts w:ascii="Arial" w:hAnsi="Arial" w:cs="Arial"/>
        </w:rPr>
        <w:t xml:space="preserve">addresses the </w:t>
      </w:r>
      <w:r w:rsidRPr="0021362E">
        <w:rPr>
          <w:rFonts w:ascii="Arial" w:hAnsi="Arial" w:cs="Arial"/>
        </w:rPr>
        <w:t>‘What are we looking for</w:t>
      </w:r>
      <w:r w:rsidR="0093745A" w:rsidRPr="0021362E">
        <w:rPr>
          <w:rFonts w:ascii="Arial" w:hAnsi="Arial" w:cs="Arial"/>
        </w:rPr>
        <w:t>’</w:t>
      </w:r>
      <w:r w:rsidR="00EC0262" w:rsidRPr="0021362E">
        <w:rPr>
          <w:rFonts w:ascii="Arial" w:hAnsi="Arial" w:cs="Arial"/>
        </w:rPr>
        <w:t xml:space="preserve"> section above.</w:t>
      </w:r>
    </w:p>
    <w:p w14:paraId="3F1117E2" w14:textId="59FCA64C" w:rsidR="00F9789F" w:rsidRPr="005D42EA" w:rsidRDefault="00EC0262" w:rsidP="0002235C">
      <w:r>
        <w:t xml:space="preserve">For culture safety or reasonable adjustments, please advise the contact person for this role. For technical difficulties with submitting your application, please contact </w:t>
      </w:r>
      <w:r w:rsidR="0060790E" w:rsidRPr="005D42EA">
        <w:t>13 QGOV (13 7468)</w:t>
      </w:r>
      <w:r>
        <w:t xml:space="preserve"> or phone OIR Human Resources on 07 3406 9943 if you do not have internet access. </w:t>
      </w:r>
    </w:p>
    <w:p w14:paraId="37DBA0A7" w14:textId="5D29DAA4" w:rsidR="0060790E" w:rsidRPr="005D42EA" w:rsidRDefault="00EC0262" w:rsidP="0002235C">
      <w:r>
        <w:t>Please allow enough time before the closing date to submit your application.</w:t>
      </w:r>
      <w:r w:rsidR="00180C3D">
        <w:t xml:space="preserve"> Requests for late applications can be forwarded to the </w:t>
      </w:r>
      <w:r>
        <w:t>contact person</w:t>
      </w:r>
      <w:r w:rsidR="00180C3D">
        <w:t xml:space="preserve"> for consideration.</w:t>
      </w:r>
    </w:p>
    <w:p w14:paraId="7C8C456C" w14:textId="77777777" w:rsidR="00F9789F" w:rsidRPr="00027035" w:rsidRDefault="00F9789F" w:rsidP="00BA473F">
      <w:pPr>
        <w:spacing w:before="120"/>
        <w:rPr>
          <w:sz w:val="28"/>
          <w:szCs w:val="28"/>
        </w:rPr>
      </w:pPr>
      <w:r w:rsidRPr="00027035">
        <w:rPr>
          <w:sz w:val="28"/>
          <w:szCs w:val="28"/>
        </w:rPr>
        <w:t>Additional information</w:t>
      </w:r>
    </w:p>
    <w:p w14:paraId="460C4AD2" w14:textId="15E0D7DC" w:rsidR="00180C3D" w:rsidRDefault="00180C3D" w:rsidP="0002235C">
      <w:r>
        <w:t xml:space="preserve">For employment conditions and additional information about how to apply for a role at the OIR, please read the </w:t>
      </w:r>
      <w:r w:rsidR="003B6832">
        <w:t>Applicant guide</w:t>
      </w:r>
      <w:r>
        <w:t xml:space="preserve">. </w:t>
      </w:r>
    </w:p>
    <w:sectPr w:rsidR="00180C3D" w:rsidSect="00C73292">
      <w:footerReference w:type="even" r:id="rId29"/>
      <w:footerReference w:type="default" r:id="rId30"/>
      <w:headerReference w:type="first" r:id="rId31"/>
      <w:footerReference w:type="first" r:id="rId32"/>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E2A9" w14:textId="77777777" w:rsidR="005F68B8" w:rsidRDefault="005F68B8" w:rsidP="0024413D">
      <w:pPr>
        <w:spacing w:after="0" w:line="240" w:lineRule="auto"/>
      </w:pPr>
      <w:r>
        <w:separator/>
      </w:r>
    </w:p>
  </w:endnote>
  <w:endnote w:type="continuationSeparator" w:id="0">
    <w:p w14:paraId="2E589435" w14:textId="77777777" w:rsidR="005F68B8" w:rsidRDefault="005F68B8" w:rsidP="0024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661135"/>
      <w:docPartObj>
        <w:docPartGallery w:val="Page Numbers (Bottom of Page)"/>
        <w:docPartUnique/>
      </w:docPartObj>
    </w:sdtPr>
    <w:sdtEndPr>
      <w:rPr>
        <w:rStyle w:val="PageNumber"/>
      </w:rPr>
    </w:sdtEndPr>
    <w:sdtContent>
      <w:p w14:paraId="6FAF00A9" w14:textId="67FF92ED" w:rsidR="00C73292" w:rsidRDefault="00C73292" w:rsidP="006811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287B">
          <w:rPr>
            <w:rStyle w:val="PageNumber"/>
            <w:noProof/>
          </w:rPr>
          <w:t>2</w:t>
        </w:r>
        <w:r>
          <w:rPr>
            <w:rStyle w:val="PageNumber"/>
          </w:rPr>
          <w:fldChar w:fldCharType="end"/>
        </w:r>
      </w:p>
    </w:sdtContent>
  </w:sdt>
  <w:p w14:paraId="27B935ED" w14:textId="77777777" w:rsidR="00C73292" w:rsidRDefault="00C73292" w:rsidP="00C73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700521"/>
      <w:docPartObj>
        <w:docPartGallery w:val="Page Numbers (Bottom of Page)"/>
        <w:docPartUnique/>
      </w:docPartObj>
    </w:sdtPr>
    <w:sdtEndPr>
      <w:rPr>
        <w:rStyle w:val="PageNumber"/>
      </w:rPr>
    </w:sdtEndPr>
    <w:sdtContent>
      <w:p w14:paraId="204D382C" w14:textId="77777777" w:rsidR="00C73292" w:rsidRDefault="00C73292" w:rsidP="00C73292">
        <w:pPr>
          <w:pStyle w:val="Footer"/>
          <w:framePr w:wrap="none" w:vAnchor="text" w:hAnchor="page" w:x="11053" w:y="43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70BF2F" w14:textId="0F76DDD4" w:rsidR="00C73292" w:rsidRDefault="00DA645B" w:rsidP="00C73292">
    <w:pPr>
      <w:pStyle w:val="Footer"/>
      <w:ind w:right="360"/>
    </w:pPr>
    <w:r>
      <w:rPr>
        <w:noProof/>
      </w:rPr>
      <mc:AlternateContent>
        <mc:Choice Requires="wps">
          <w:drawing>
            <wp:anchor distT="4294967295" distB="4294967295" distL="114300" distR="114300" simplePos="0" relativeHeight="251661312" behindDoc="0" locked="0" layoutInCell="1" allowOverlap="1" wp14:anchorId="6FBA3B66" wp14:editId="04320F05">
              <wp:simplePos x="0" y="0"/>
              <wp:positionH relativeFrom="column">
                <wp:posOffset>22860</wp:posOffset>
              </wp:positionH>
              <wp:positionV relativeFrom="paragraph">
                <wp:posOffset>213994</wp:posOffset>
              </wp:positionV>
              <wp:extent cx="661416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4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703AA9"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6.85pt" to="522.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9opwEAALADAAAOAAAAZHJzL2Uyb0RvYy54bWysU8GO1DAMvSPxD1HuTNoVGqFqOnvYFVxW&#10;sGLhA7ypM41I4igJ087fk6TTggAJgbhETez3/PzsHm5na9gZQ9Tket7uGs7QSRq0O/X886e3r95w&#10;FhO4AQw57PkFI789vnxxmHyHNzSSGTCwTOJiN/mejyn5TogoR7QQd+TR5aCiYCHlaziJIcCU2a0R&#10;N02zFxOFwQeSGGN+vV+C/Fj5lUKZPigVMTHT86wt1TPU87mc4niA7hTAj1peZcA/qLCgXS66Ud1D&#10;AvY16F+orJaBIqm0k2QFKaUl1h5yN23zUzdPI3isvWRzot9siv+PVr4/37nHUKTL2T35B5JfYjZF&#10;TD52W7Bcol/SZhVsSc/a2VyNvGxG4pyYzI/7ffu63We/5RoT0K1AH2J6h2RZ+ei50a70CB2cH2Iq&#10;paFbU646ltJVRLoYLMnGfUTF9JCLtRVdNwbvTGBnyLMGKdGltsw389XsAlPamA3Y/Bl4zS9QrNv0&#10;N+ANUSuTSxvYakfhd9XTvEpWS/7qwNJ3seCZhstjWEeU16J2eF3hsnc/3iv8+492/AYAAP//AwBQ&#10;SwMEFAAGAAgAAAAhAHnPlXjfAAAACAEAAA8AAABkcnMvZG93bnJldi54bWxMj0FLw0AQhe+C/2EZ&#10;wZvdmNoqMZtSCmItSLEK9bjNjkk0Oxt2t036753ioZ6Gmfd48718NthWHNCHxpGC21ECAql0pqFK&#10;wcf7080DiBA1Gd06QgVHDDArLi9ynRnX0xseNrESHEIh0wrqGLtMylDWaHUYuQ6JtS/nrY68+koa&#10;r3sOt61Mk2QqrW6IP9S6w0WN5c9mbxW8+uVyMV8dv2n9afttutquX4Znpa6vhvkjiIhDPJvhhM/o&#10;UDDTzu3JBNEqGE/ZyGN8D+IkJ3eTFMTu7yKLXP4vUPwCAAD//wMAUEsBAi0AFAAGAAgAAAAhALaD&#10;OJL+AAAA4QEAABMAAAAAAAAAAAAAAAAAAAAAAFtDb250ZW50X1R5cGVzXS54bWxQSwECLQAUAAYA&#10;CAAAACEAOP0h/9YAAACUAQAACwAAAAAAAAAAAAAAAAAvAQAAX3JlbHMvLnJlbHNQSwECLQAUAAYA&#10;CAAAACEANWufaKcBAACwAwAADgAAAAAAAAAAAAAAAAAuAgAAZHJzL2Uyb0RvYy54bWxQSwECLQAU&#10;AAYACAAAACEAec+VeN8AAAAIAQAADwAAAAAAAAAAAAAAAAABBAAAZHJzL2Rvd25yZXYueG1sUEsF&#10;BgAAAAAEAAQA8wAAAA0FAAAAAA==&#10;" strokecolor="#4472c4 [3204]" strokeweight=".5pt">
              <v:stroke joinstyle="miter"/>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33F89FA8" wp14:editId="44CBE6D2">
              <wp:simplePos x="0" y="0"/>
              <wp:positionH relativeFrom="column">
                <wp:posOffset>22860</wp:posOffset>
              </wp:positionH>
              <wp:positionV relativeFrom="paragraph">
                <wp:posOffset>221615</wp:posOffset>
              </wp:positionV>
              <wp:extent cx="6370320" cy="2438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0320" cy="243840"/>
                      </a:xfrm>
                      <a:prstGeom prst="rect">
                        <a:avLst/>
                      </a:prstGeom>
                      <a:noFill/>
                      <a:ln w="6350">
                        <a:noFill/>
                      </a:ln>
                    </wps:spPr>
                    <wps:txbx>
                      <w:txbxContent>
                        <w:p w14:paraId="48DB941C" w14:textId="15993128" w:rsidR="00C73292" w:rsidRPr="00BF7C29" w:rsidRDefault="0021362E" w:rsidP="00BF7C29">
                          <w:pPr>
                            <w:pStyle w:val="Default"/>
                            <w:spacing w:after="40" w:line="200" w:lineRule="atLeast"/>
                            <w:rPr>
                              <w:i/>
                              <w:iCs/>
                              <w:color w:val="4472C4" w:themeColor="accent1"/>
                              <w:sz w:val="20"/>
                              <w:szCs w:val="20"/>
                            </w:rPr>
                          </w:pPr>
                          <w:r w:rsidRPr="0021362E">
                            <w:rPr>
                              <w:i/>
                              <w:iCs/>
                              <w:color w:val="4472C4" w:themeColor="accent1"/>
                              <w:sz w:val="20"/>
                              <w:szCs w:val="20"/>
                            </w:rPr>
                            <w:t>Team Leader, Authorisations, Licensing and Regulatory Interventions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89FA8" id="_x0000_t202" coordsize="21600,21600" o:spt="202" path="m,l,21600r21600,l21600,xe">
              <v:stroke joinstyle="miter"/>
              <v:path gradientshapeok="t" o:connecttype="rect"/>
            </v:shapetype>
            <v:shape id="Text Box 1" o:spid="_x0000_s1026" type="#_x0000_t202" style="position:absolute;margin-left:1.8pt;margin-top:17.45pt;width:501.6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acQHAIAAEUEAAAOAAAAZHJzL2Uyb0RvYy54bWysU0tv2zAMvg/YfxB0X+wkXVYYcYqsRYYB&#10;QVsgLXpWZCk2JomapMTOfv0o2Xmg22nYRSbN9/eR87tOK3IQzjdgSjoe5ZQIw6FqzK6kry+rT7eU&#10;+MBMxRQYUdKj8PRu8fHDvLWFmEANqhKOYBLji9aWtA7BFlnmeS008yOwwqBRgtMsoOp2WeVYi9m1&#10;yiZ5PstacJV1wIX3+PehN9JFyi+l4OFJSi8CUSXF3kJ6XXq38c0Wc1bsHLN1w4c22D90oVljsOg5&#10;1QMLjOxd80cq3XAHHmQYcdAZSNlwkWbAacb5u2k2NbMizYLgeHuGyf+/tPzxsLHPjoTuK3RIYBrC&#10;2zXwHx6xyVrri8EnYuoLj95x0E46Hb84AsFAxPZ4xlN0gXD8OZt+yacTNHG0TW6mtzcJ8OwSbZ0P&#10;3wRoEoWSOuQrdcAOax9ifVacXGIxA6tGqcSZMqSNFT7nKeBswQhlhsb7XmPXodt2GBbFLVRHHNhB&#10;vwve8lWDxdfMh2fmkHzsFxc6POEjFWARGCRKanC//vY/+iMnaKWkxWUqqf+5Z05Qor4bZGs6y/O4&#10;fdeKu1a214rZ63vAfR3j6VieRAx2QZ1E6UC/4d4vY1U0McOxdknDSbwP/Yrj3XCxXCYn3DfLwtps&#10;LD/xHKF96d6YswP+AZl7hNPaseIdDb1vT8RyH0A2iaMLqgPuuKuJuuGu4jFc68nrcv2L3wAAAP//&#10;AwBQSwMEFAAGAAgAAAAhACe/c/HdAAAACAEAAA8AAABkcnMvZG93bnJldi54bWxMj8FuwjAQRO+V&#10;+AdrkXorThsEJY2DIBJSLz2U9tCjEy9JlHgdYhPSv+9yKqfVakYzb9LtZDsx4uAbRwqeFxEIpNKZ&#10;hioF31+Hp1cQPmgyunOECn7RwzabPaQ6Me5KnzgeQyU4hHyiFdQh9ImUvqzRar9wPRJrJzdYHfgd&#10;KmkGfeVw28mXKFpJqxvihlr3mNdYtseLVfDTTrkNh/W+aPH8/rFf5n4scqUe59PuDUTAKfyb4YbP&#10;6JAxU+EuZLzoFMQrNvJZbkDcZC7jKYWCdRyDzFJ5PyD7AwAA//8DAFBLAQItABQABgAIAAAAIQC2&#10;gziS/gAAAOEBAAATAAAAAAAAAAAAAAAAAAAAAABbQ29udGVudF9UeXBlc10ueG1sUEsBAi0AFAAG&#10;AAgAAAAhADj9If/WAAAAlAEAAAsAAAAAAAAAAAAAAAAALwEAAF9yZWxzLy5yZWxzUEsBAi0AFAAG&#10;AAgAAAAhALkppxAcAgAARQQAAA4AAAAAAAAAAAAAAAAALgIAAGRycy9lMm9Eb2MueG1sUEsBAi0A&#10;FAAGAAgAAAAhACe/c/HdAAAACAEAAA8AAAAAAAAAAAAAAAAAdgQAAGRycy9kb3ducmV2LnhtbFBL&#10;BQYAAAAABAAEAPMAAACABQAAAAA=&#10;" filled="f" stroked="f" strokeweight=".5pt">
              <v:textbox inset="1mm,1mm,1mm,1mm">
                <w:txbxContent>
                  <w:p w14:paraId="48DB941C" w14:textId="15993128" w:rsidR="00C73292" w:rsidRPr="00BF7C29" w:rsidRDefault="0021362E" w:rsidP="00BF7C29">
                    <w:pPr>
                      <w:pStyle w:val="Default"/>
                      <w:spacing w:after="40" w:line="200" w:lineRule="atLeast"/>
                      <w:rPr>
                        <w:i/>
                        <w:iCs/>
                        <w:color w:val="4472C4" w:themeColor="accent1"/>
                        <w:sz w:val="20"/>
                        <w:szCs w:val="20"/>
                      </w:rPr>
                    </w:pPr>
                    <w:r w:rsidRPr="0021362E">
                      <w:rPr>
                        <w:i/>
                        <w:iCs/>
                        <w:color w:val="4472C4" w:themeColor="accent1"/>
                        <w:sz w:val="20"/>
                        <w:szCs w:val="20"/>
                      </w:rPr>
                      <w:t>Team Leader, Authorisations, Licensing and Regulatory Interventions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0B7D" w14:textId="68CE5244" w:rsidR="007E3250" w:rsidRDefault="007E3250" w:rsidP="00C73292">
    <w:pPr>
      <w:pStyle w:val="Footer"/>
      <w:ind w:right="360"/>
    </w:pPr>
    <w:r>
      <w:rPr>
        <w:noProof/>
      </w:rPr>
      <w:drawing>
        <wp:anchor distT="0" distB="0" distL="114300" distR="114300" simplePos="0" relativeHeight="251662336" behindDoc="1" locked="0" layoutInCell="1" allowOverlap="1" wp14:anchorId="0A787B87" wp14:editId="4E36E3FA">
          <wp:simplePos x="0" y="0"/>
          <wp:positionH relativeFrom="page">
            <wp:align>left</wp:align>
          </wp:positionH>
          <wp:positionV relativeFrom="paragraph">
            <wp:posOffset>10160</wp:posOffset>
          </wp:positionV>
          <wp:extent cx="7563600" cy="1220400"/>
          <wp:effectExtent l="0" t="0" r="0" b="0"/>
          <wp:wrapNone/>
          <wp:docPr id="9" name="Picture 9"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781998" name="Picture 3"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220400"/>
                  </a:xfrm>
                  <a:prstGeom prst="rect">
                    <a:avLst/>
                  </a:prstGeom>
                </pic:spPr>
              </pic:pic>
            </a:graphicData>
          </a:graphic>
          <wp14:sizeRelH relativeFrom="margin">
            <wp14:pctWidth>0</wp14:pctWidth>
          </wp14:sizeRelH>
          <wp14:sizeRelV relativeFrom="margin">
            <wp14:pctHeight>0</wp14:pctHeight>
          </wp14:sizeRelV>
        </wp:anchor>
      </w:drawing>
    </w:r>
  </w:p>
  <w:p w14:paraId="0887014D" w14:textId="2BAE1CCA" w:rsidR="007E3250" w:rsidRDefault="007E3250" w:rsidP="00C73292">
    <w:pPr>
      <w:pStyle w:val="Footer"/>
      <w:ind w:right="360"/>
    </w:pPr>
  </w:p>
  <w:p w14:paraId="2B8E3EBB" w14:textId="0BF96F63" w:rsidR="007E3250" w:rsidRDefault="007E3250" w:rsidP="00C73292">
    <w:pPr>
      <w:pStyle w:val="Footer"/>
      <w:ind w:right="360"/>
    </w:pPr>
  </w:p>
  <w:p w14:paraId="017B5B26" w14:textId="77777777" w:rsidR="007E3250" w:rsidRDefault="007E3250" w:rsidP="00C73292">
    <w:pPr>
      <w:pStyle w:val="Footer"/>
      <w:ind w:right="360"/>
    </w:pPr>
  </w:p>
  <w:p w14:paraId="79486281" w14:textId="6286CF5F" w:rsidR="00C73292" w:rsidRDefault="00C73292" w:rsidP="00C732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10DE" w14:textId="77777777" w:rsidR="005F68B8" w:rsidRDefault="005F68B8" w:rsidP="0024413D">
      <w:pPr>
        <w:spacing w:after="0" w:line="240" w:lineRule="auto"/>
      </w:pPr>
      <w:r>
        <w:separator/>
      </w:r>
    </w:p>
  </w:footnote>
  <w:footnote w:type="continuationSeparator" w:id="0">
    <w:p w14:paraId="050E87AF" w14:textId="77777777" w:rsidR="005F68B8" w:rsidRDefault="005F68B8" w:rsidP="00244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EE23" w14:textId="1A97483D" w:rsidR="00D56EF4" w:rsidRDefault="00FE46FF" w:rsidP="00FE46FF">
    <w:pPr>
      <w:pStyle w:val="Default"/>
      <w:spacing w:before="120" w:after="120" w:line="260" w:lineRule="atLeast"/>
      <w:jc w:val="right"/>
      <w:rPr>
        <w:sz w:val="44"/>
        <w:szCs w:val="44"/>
      </w:rPr>
    </w:pPr>
    <w:r w:rsidRPr="00FE46FF">
      <w:rPr>
        <w:noProof/>
        <w:color w:val="FFFFFF" w:themeColor="background1"/>
      </w:rPr>
      <w:drawing>
        <wp:anchor distT="0" distB="0" distL="114300" distR="114300" simplePos="0" relativeHeight="251659264" behindDoc="1" locked="0" layoutInCell="1" allowOverlap="1" wp14:anchorId="5B2DF554" wp14:editId="6C95E373">
          <wp:simplePos x="0" y="0"/>
          <wp:positionH relativeFrom="page">
            <wp:align>left</wp:align>
          </wp:positionH>
          <wp:positionV relativeFrom="paragraph">
            <wp:posOffset>-446405</wp:posOffset>
          </wp:positionV>
          <wp:extent cx="7556500" cy="14351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46A">
      <w:rPr>
        <w:color w:val="FFFFFF" w:themeColor="background1"/>
        <w:sz w:val="44"/>
        <w:szCs w:val="44"/>
      </w:rPr>
      <w:t>Team Leader, Authorisations</w:t>
    </w:r>
    <w:r w:rsidRPr="00FE46FF">
      <w:rPr>
        <w:color w:val="FFFFFF" w:themeColor="background1"/>
        <w:sz w:val="44"/>
        <w:szCs w:val="44"/>
      </w:rPr>
      <w:t xml:space="preserve"> (</w:t>
    </w:r>
    <w:r w:rsidR="0087046A">
      <w:rPr>
        <w:color w:val="FFFFFF" w:themeColor="background1"/>
        <w:sz w:val="44"/>
        <w:szCs w:val="44"/>
      </w:rPr>
      <w:t>AO5</w:t>
    </w:r>
    <w:r w:rsidRPr="00FE46FF">
      <w:rPr>
        <w:color w:val="FFFFFF" w:themeColor="background1"/>
        <w:sz w:val="44"/>
        <w:szCs w:val="44"/>
      </w:rPr>
      <w:t>)</w:t>
    </w:r>
  </w:p>
  <w:p w14:paraId="1BA0591C" w14:textId="77777777" w:rsidR="00FE46FF" w:rsidRDefault="00FE46FF" w:rsidP="00FE46FF">
    <w:pPr>
      <w:pStyle w:val="Default"/>
      <w:spacing w:before="120" w:after="120" w:line="260" w:lineRule="atLeast"/>
      <w:jc w:val="right"/>
    </w:pPr>
  </w:p>
  <w:p w14:paraId="70C20E11" w14:textId="1BA37680" w:rsidR="00C73292" w:rsidRDefault="00C73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7B0"/>
    <w:multiLevelType w:val="hybridMultilevel"/>
    <w:tmpl w:val="EAD0B89C"/>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710BF"/>
    <w:multiLevelType w:val="hybridMultilevel"/>
    <w:tmpl w:val="D2C44CA8"/>
    <w:lvl w:ilvl="0" w:tplc="0C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4651DAE"/>
    <w:multiLevelType w:val="hybridMultilevel"/>
    <w:tmpl w:val="3454D276"/>
    <w:lvl w:ilvl="0" w:tplc="0C09000D">
      <w:start w:val="1"/>
      <w:numFmt w:val="bullet"/>
      <w:lvlText w:val=""/>
      <w:lvlJc w:val="left"/>
      <w:pPr>
        <w:ind w:left="-131" w:hanging="360"/>
      </w:pPr>
      <w:rPr>
        <w:rFonts w:ascii="Wingdings" w:hAnsi="Wingding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 w15:restartNumberingAfterBreak="0">
    <w:nsid w:val="14E66CCE"/>
    <w:multiLevelType w:val="hybridMultilevel"/>
    <w:tmpl w:val="C3F4DAF0"/>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C7543"/>
    <w:multiLevelType w:val="hybridMultilevel"/>
    <w:tmpl w:val="A4DE4EE6"/>
    <w:lvl w:ilvl="0" w:tplc="BB9ABBB8">
      <w:start w:val="1"/>
      <w:numFmt w:val="bullet"/>
      <w:lvlText w:val=""/>
      <w:lvlJc w:val="left"/>
      <w:pPr>
        <w:ind w:left="-207"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15:restartNumberingAfterBreak="0">
    <w:nsid w:val="1BC34BE7"/>
    <w:multiLevelType w:val="hybridMultilevel"/>
    <w:tmpl w:val="AA1092B0"/>
    <w:lvl w:ilvl="0" w:tplc="646C1B8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404C04"/>
    <w:multiLevelType w:val="hybridMultilevel"/>
    <w:tmpl w:val="E9E21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77725B"/>
    <w:multiLevelType w:val="hybridMultilevel"/>
    <w:tmpl w:val="D5442F1C"/>
    <w:lvl w:ilvl="0" w:tplc="0C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C6700DD"/>
    <w:multiLevelType w:val="hybridMultilevel"/>
    <w:tmpl w:val="8CB2F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1D0F57"/>
    <w:multiLevelType w:val="hybridMultilevel"/>
    <w:tmpl w:val="579A0926"/>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4304E6"/>
    <w:multiLevelType w:val="hybridMultilevel"/>
    <w:tmpl w:val="584CF4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4957DC"/>
    <w:multiLevelType w:val="hybridMultilevel"/>
    <w:tmpl w:val="A1C69CA4"/>
    <w:lvl w:ilvl="0" w:tplc="646C1B82">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D533C4D"/>
    <w:multiLevelType w:val="hybridMultilevel"/>
    <w:tmpl w:val="4AB8CF64"/>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800C1B"/>
    <w:multiLevelType w:val="hybridMultilevel"/>
    <w:tmpl w:val="71E4A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C334A02"/>
    <w:multiLevelType w:val="hybridMultilevel"/>
    <w:tmpl w:val="D1D2DB56"/>
    <w:lvl w:ilvl="0" w:tplc="0C090001">
      <w:start w:val="1"/>
      <w:numFmt w:val="bullet"/>
      <w:lvlText w:val=""/>
      <w:lvlJc w:val="left"/>
      <w:pPr>
        <w:ind w:left="613" w:hanging="360"/>
      </w:pPr>
      <w:rPr>
        <w:rFonts w:ascii="Symbol" w:hAnsi="Symbol" w:hint="default"/>
      </w:rPr>
    </w:lvl>
    <w:lvl w:ilvl="1" w:tplc="0C090003" w:tentative="1">
      <w:start w:val="1"/>
      <w:numFmt w:val="bullet"/>
      <w:lvlText w:val="o"/>
      <w:lvlJc w:val="left"/>
      <w:pPr>
        <w:ind w:left="1333" w:hanging="360"/>
      </w:pPr>
      <w:rPr>
        <w:rFonts w:ascii="Courier New" w:hAnsi="Courier New" w:cs="Courier New" w:hint="default"/>
      </w:rPr>
    </w:lvl>
    <w:lvl w:ilvl="2" w:tplc="0C090005" w:tentative="1">
      <w:start w:val="1"/>
      <w:numFmt w:val="bullet"/>
      <w:lvlText w:val=""/>
      <w:lvlJc w:val="left"/>
      <w:pPr>
        <w:ind w:left="2053" w:hanging="360"/>
      </w:pPr>
      <w:rPr>
        <w:rFonts w:ascii="Wingdings" w:hAnsi="Wingdings" w:hint="default"/>
      </w:rPr>
    </w:lvl>
    <w:lvl w:ilvl="3" w:tplc="0C090001" w:tentative="1">
      <w:start w:val="1"/>
      <w:numFmt w:val="bullet"/>
      <w:lvlText w:val=""/>
      <w:lvlJc w:val="left"/>
      <w:pPr>
        <w:ind w:left="2773" w:hanging="360"/>
      </w:pPr>
      <w:rPr>
        <w:rFonts w:ascii="Symbol" w:hAnsi="Symbol" w:hint="default"/>
      </w:rPr>
    </w:lvl>
    <w:lvl w:ilvl="4" w:tplc="0C090003" w:tentative="1">
      <w:start w:val="1"/>
      <w:numFmt w:val="bullet"/>
      <w:lvlText w:val="o"/>
      <w:lvlJc w:val="left"/>
      <w:pPr>
        <w:ind w:left="3493" w:hanging="360"/>
      </w:pPr>
      <w:rPr>
        <w:rFonts w:ascii="Courier New" w:hAnsi="Courier New" w:cs="Courier New" w:hint="default"/>
      </w:rPr>
    </w:lvl>
    <w:lvl w:ilvl="5" w:tplc="0C090005" w:tentative="1">
      <w:start w:val="1"/>
      <w:numFmt w:val="bullet"/>
      <w:lvlText w:val=""/>
      <w:lvlJc w:val="left"/>
      <w:pPr>
        <w:ind w:left="4213" w:hanging="360"/>
      </w:pPr>
      <w:rPr>
        <w:rFonts w:ascii="Wingdings" w:hAnsi="Wingdings" w:hint="default"/>
      </w:rPr>
    </w:lvl>
    <w:lvl w:ilvl="6" w:tplc="0C090001" w:tentative="1">
      <w:start w:val="1"/>
      <w:numFmt w:val="bullet"/>
      <w:lvlText w:val=""/>
      <w:lvlJc w:val="left"/>
      <w:pPr>
        <w:ind w:left="4933" w:hanging="360"/>
      </w:pPr>
      <w:rPr>
        <w:rFonts w:ascii="Symbol" w:hAnsi="Symbol" w:hint="default"/>
      </w:rPr>
    </w:lvl>
    <w:lvl w:ilvl="7" w:tplc="0C090003" w:tentative="1">
      <w:start w:val="1"/>
      <w:numFmt w:val="bullet"/>
      <w:lvlText w:val="o"/>
      <w:lvlJc w:val="left"/>
      <w:pPr>
        <w:ind w:left="5653" w:hanging="360"/>
      </w:pPr>
      <w:rPr>
        <w:rFonts w:ascii="Courier New" w:hAnsi="Courier New" w:cs="Courier New" w:hint="default"/>
      </w:rPr>
    </w:lvl>
    <w:lvl w:ilvl="8" w:tplc="0C090005" w:tentative="1">
      <w:start w:val="1"/>
      <w:numFmt w:val="bullet"/>
      <w:lvlText w:val=""/>
      <w:lvlJc w:val="left"/>
      <w:pPr>
        <w:ind w:left="6373" w:hanging="360"/>
      </w:pPr>
      <w:rPr>
        <w:rFonts w:ascii="Wingdings" w:hAnsi="Wingdings" w:hint="default"/>
      </w:rPr>
    </w:lvl>
  </w:abstractNum>
  <w:abstractNum w:abstractNumId="15" w15:restartNumberingAfterBreak="0">
    <w:nsid w:val="61926718"/>
    <w:multiLevelType w:val="hybridMultilevel"/>
    <w:tmpl w:val="A802D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A405B4"/>
    <w:multiLevelType w:val="hybridMultilevel"/>
    <w:tmpl w:val="D43EE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3666B8"/>
    <w:multiLevelType w:val="hybridMultilevel"/>
    <w:tmpl w:val="E9AAB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B64555"/>
    <w:multiLevelType w:val="hybridMultilevel"/>
    <w:tmpl w:val="19FC395C"/>
    <w:lvl w:ilvl="0" w:tplc="5B24FB64">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317C64"/>
    <w:multiLevelType w:val="hybridMultilevel"/>
    <w:tmpl w:val="B840183E"/>
    <w:lvl w:ilvl="0" w:tplc="646C1B8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C76664"/>
    <w:multiLevelType w:val="hybridMultilevel"/>
    <w:tmpl w:val="BAA62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81271C"/>
    <w:multiLevelType w:val="hybridMultilevel"/>
    <w:tmpl w:val="3DFEB528"/>
    <w:lvl w:ilvl="0" w:tplc="646C1B82">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5DB2BEE"/>
    <w:multiLevelType w:val="hybridMultilevel"/>
    <w:tmpl w:val="F0EAD220"/>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216ADC"/>
    <w:multiLevelType w:val="hybridMultilevel"/>
    <w:tmpl w:val="DA8E0932"/>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6721177">
    <w:abstractNumId w:val="6"/>
  </w:num>
  <w:num w:numId="2" w16cid:durableId="1039276750">
    <w:abstractNumId w:val="2"/>
  </w:num>
  <w:num w:numId="3" w16cid:durableId="1992171045">
    <w:abstractNumId w:val="13"/>
  </w:num>
  <w:num w:numId="4" w16cid:durableId="1105229608">
    <w:abstractNumId w:val="12"/>
  </w:num>
  <w:num w:numId="5" w16cid:durableId="46072774">
    <w:abstractNumId w:val="17"/>
  </w:num>
  <w:num w:numId="6" w16cid:durableId="1009336612">
    <w:abstractNumId w:val="9"/>
  </w:num>
  <w:num w:numId="7" w16cid:durableId="1583173733">
    <w:abstractNumId w:val="4"/>
  </w:num>
  <w:num w:numId="8" w16cid:durableId="1653873648">
    <w:abstractNumId w:val="0"/>
  </w:num>
  <w:num w:numId="9" w16cid:durableId="649942833">
    <w:abstractNumId w:val="23"/>
  </w:num>
  <w:num w:numId="10" w16cid:durableId="861556150">
    <w:abstractNumId w:val="3"/>
  </w:num>
  <w:num w:numId="11" w16cid:durableId="1811704691">
    <w:abstractNumId w:val="22"/>
  </w:num>
  <w:num w:numId="12" w16cid:durableId="906574163">
    <w:abstractNumId w:val="18"/>
  </w:num>
  <w:num w:numId="13" w16cid:durableId="1524435445">
    <w:abstractNumId w:val="8"/>
  </w:num>
  <w:num w:numId="14" w16cid:durableId="752238913">
    <w:abstractNumId w:val="10"/>
  </w:num>
  <w:num w:numId="15" w16cid:durableId="245845928">
    <w:abstractNumId w:val="18"/>
  </w:num>
  <w:num w:numId="16" w16cid:durableId="2007977400">
    <w:abstractNumId w:val="14"/>
  </w:num>
  <w:num w:numId="17" w16cid:durableId="145167003">
    <w:abstractNumId w:val="20"/>
  </w:num>
  <w:num w:numId="18" w16cid:durableId="762072021">
    <w:abstractNumId w:val="16"/>
  </w:num>
  <w:num w:numId="19" w16cid:durableId="1491405538">
    <w:abstractNumId w:val="19"/>
  </w:num>
  <w:num w:numId="20" w16cid:durableId="613950485">
    <w:abstractNumId w:val="21"/>
  </w:num>
  <w:num w:numId="21" w16cid:durableId="538051052">
    <w:abstractNumId w:val="1"/>
  </w:num>
  <w:num w:numId="22" w16cid:durableId="1728338558">
    <w:abstractNumId w:val="15"/>
  </w:num>
  <w:num w:numId="23" w16cid:durableId="500659310">
    <w:abstractNumId w:val="5"/>
  </w:num>
  <w:num w:numId="24" w16cid:durableId="81218332">
    <w:abstractNumId w:val="11"/>
  </w:num>
  <w:num w:numId="25" w16cid:durableId="1547333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97"/>
    <w:rsid w:val="0002235C"/>
    <w:rsid w:val="00027035"/>
    <w:rsid w:val="000870F0"/>
    <w:rsid w:val="000A5359"/>
    <w:rsid w:val="000B5D16"/>
    <w:rsid w:val="000D7A82"/>
    <w:rsid w:val="00106183"/>
    <w:rsid w:val="001361B3"/>
    <w:rsid w:val="00147650"/>
    <w:rsid w:val="0016273B"/>
    <w:rsid w:val="001708FD"/>
    <w:rsid w:val="00180C3D"/>
    <w:rsid w:val="001A770F"/>
    <w:rsid w:val="00201676"/>
    <w:rsid w:val="0021362E"/>
    <w:rsid w:val="0024317B"/>
    <w:rsid w:val="0024413D"/>
    <w:rsid w:val="00254960"/>
    <w:rsid w:val="00255758"/>
    <w:rsid w:val="002C488D"/>
    <w:rsid w:val="003268BA"/>
    <w:rsid w:val="003421D0"/>
    <w:rsid w:val="00370404"/>
    <w:rsid w:val="003B6832"/>
    <w:rsid w:val="003C3226"/>
    <w:rsid w:val="00436933"/>
    <w:rsid w:val="00446E54"/>
    <w:rsid w:val="00450761"/>
    <w:rsid w:val="004B4C80"/>
    <w:rsid w:val="004C3DE8"/>
    <w:rsid w:val="005429BD"/>
    <w:rsid w:val="00554269"/>
    <w:rsid w:val="00571D9F"/>
    <w:rsid w:val="005740DA"/>
    <w:rsid w:val="005D42EA"/>
    <w:rsid w:val="005E0773"/>
    <w:rsid w:val="005F538E"/>
    <w:rsid w:val="005F68B8"/>
    <w:rsid w:val="0060790E"/>
    <w:rsid w:val="00681130"/>
    <w:rsid w:val="006902DB"/>
    <w:rsid w:val="0069337C"/>
    <w:rsid w:val="006A1AE3"/>
    <w:rsid w:val="00701202"/>
    <w:rsid w:val="00705E3A"/>
    <w:rsid w:val="00712768"/>
    <w:rsid w:val="00761EE8"/>
    <w:rsid w:val="00764B19"/>
    <w:rsid w:val="007B1895"/>
    <w:rsid w:val="007E3250"/>
    <w:rsid w:val="00801D17"/>
    <w:rsid w:val="00811F17"/>
    <w:rsid w:val="008512C4"/>
    <w:rsid w:val="0087046A"/>
    <w:rsid w:val="008A011D"/>
    <w:rsid w:val="008D28FC"/>
    <w:rsid w:val="008F13A1"/>
    <w:rsid w:val="008F767F"/>
    <w:rsid w:val="00907067"/>
    <w:rsid w:val="00914C33"/>
    <w:rsid w:val="0093745A"/>
    <w:rsid w:val="009B7B8B"/>
    <w:rsid w:val="009D49F6"/>
    <w:rsid w:val="009D75AA"/>
    <w:rsid w:val="00A046C3"/>
    <w:rsid w:val="00A12BD3"/>
    <w:rsid w:val="00A755FF"/>
    <w:rsid w:val="00AC1E6D"/>
    <w:rsid w:val="00B013B3"/>
    <w:rsid w:val="00B04C76"/>
    <w:rsid w:val="00B11372"/>
    <w:rsid w:val="00B1287B"/>
    <w:rsid w:val="00B14187"/>
    <w:rsid w:val="00B15CC3"/>
    <w:rsid w:val="00B21A3C"/>
    <w:rsid w:val="00B561F3"/>
    <w:rsid w:val="00B64178"/>
    <w:rsid w:val="00B8679B"/>
    <w:rsid w:val="00BA043C"/>
    <w:rsid w:val="00BA473F"/>
    <w:rsid w:val="00BF7C29"/>
    <w:rsid w:val="00C238B0"/>
    <w:rsid w:val="00C73292"/>
    <w:rsid w:val="00CA3A0E"/>
    <w:rsid w:val="00CA4F5A"/>
    <w:rsid w:val="00CB5BDA"/>
    <w:rsid w:val="00CD15BF"/>
    <w:rsid w:val="00D34DF9"/>
    <w:rsid w:val="00D52234"/>
    <w:rsid w:val="00D56EF4"/>
    <w:rsid w:val="00D57F95"/>
    <w:rsid w:val="00D83608"/>
    <w:rsid w:val="00D837AA"/>
    <w:rsid w:val="00D97E63"/>
    <w:rsid w:val="00DA645B"/>
    <w:rsid w:val="00DC3F1B"/>
    <w:rsid w:val="00E10257"/>
    <w:rsid w:val="00E23B3A"/>
    <w:rsid w:val="00E25F97"/>
    <w:rsid w:val="00E7346F"/>
    <w:rsid w:val="00E90056"/>
    <w:rsid w:val="00EC0262"/>
    <w:rsid w:val="00F162EE"/>
    <w:rsid w:val="00F40135"/>
    <w:rsid w:val="00F51A05"/>
    <w:rsid w:val="00F6143B"/>
    <w:rsid w:val="00F76767"/>
    <w:rsid w:val="00F8349F"/>
    <w:rsid w:val="00F9789F"/>
    <w:rsid w:val="00FC105E"/>
    <w:rsid w:val="00FE4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1FB2F"/>
  <w15:docId w15:val="{8C75206B-A653-4F19-B8B1-8631DF7D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5C"/>
    <w:rPr>
      <w:rFonts w:ascii="Arial" w:hAnsi="Arial"/>
      <w:kern w:val="0"/>
      <w:sz w:val="21"/>
    </w:rPr>
  </w:style>
  <w:style w:type="paragraph" w:styleId="Heading1">
    <w:name w:val="heading 1"/>
    <w:basedOn w:val="Normal"/>
    <w:next w:val="Normal"/>
    <w:link w:val="Heading1Char"/>
    <w:uiPriority w:val="9"/>
    <w:qFormat/>
    <w:rsid w:val="00F51A05"/>
    <w:pPr>
      <w:keepNext/>
      <w:keepLines/>
      <w:spacing w:before="240" w:after="0"/>
      <w:outlineLvl w:val="0"/>
    </w:pPr>
    <w:rPr>
      <w:rFonts w:asciiTheme="majorHAnsi" w:eastAsiaTheme="majorEastAsia" w:hAnsiTheme="majorHAnsi" w:cstheme="majorBidi"/>
      <w:color w:val="2F5496" w:themeColor="accent1" w:themeShade="BF"/>
      <w:kern w:val="2"/>
      <w:sz w:val="32"/>
      <w:szCs w:val="32"/>
    </w:rPr>
  </w:style>
  <w:style w:type="paragraph" w:styleId="Heading2">
    <w:name w:val="heading 2"/>
    <w:basedOn w:val="Normal"/>
    <w:next w:val="Normal"/>
    <w:link w:val="Heading2Char"/>
    <w:uiPriority w:val="9"/>
    <w:unhideWhenUsed/>
    <w:qFormat/>
    <w:rsid w:val="00F51A05"/>
    <w:pPr>
      <w:keepNext/>
      <w:keepLines/>
      <w:spacing w:before="40" w:after="0"/>
      <w:outlineLvl w:val="1"/>
    </w:pPr>
    <w:rPr>
      <w:rFonts w:asciiTheme="majorHAnsi" w:eastAsiaTheme="majorEastAsia" w:hAnsiTheme="majorHAnsi" w:cstheme="majorBidi"/>
      <w:color w:val="2F5496" w:themeColor="accent1" w:themeShade="BF"/>
      <w:kern w:val="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9BD"/>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54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790E"/>
    <w:rPr>
      <w:color w:val="0000FF"/>
      <w:sz w:val="22"/>
      <w:u w:val="single"/>
    </w:rPr>
  </w:style>
  <w:style w:type="paragraph" w:styleId="ListParagraph">
    <w:name w:val="List Paragraph"/>
    <w:basedOn w:val="Normal"/>
    <w:link w:val="ListParagraphChar"/>
    <w:uiPriority w:val="34"/>
    <w:qFormat/>
    <w:rsid w:val="0060790E"/>
    <w:pPr>
      <w:spacing w:before="100" w:after="200" w:line="276" w:lineRule="auto"/>
      <w:ind w:left="720"/>
      <w:contextualSpacing/>
    </w:pPr>
    <w:rPr>
      <w:rFonts w:asciiTheme="minorHAnsi" w:eastAsiaTheme="minorEastAsia" w:hAnsiTheme="minorHAnsi"/>
      <w:szCs w:val="20"/>
    </w:rPr>
  </w:style>
  <w:style w:type="character" w:customStyle="1" w:styleId="ListParagraphChar">
    <w:name w:val="List Paragraph Char"/>
    <w:link w:val="ListParagraph"/>
    <w:uiPriority w:val="34"/>
    <w:locked/>
    <w:rsid w:val="0060790E"/>
    <w:rPr>
      <w:rFonts w:eastAsiaTheme="minorEastAsia"/>
      <w:kern w:val="0"/>
      <w:sz w:val="20"/>
      <w:szCs w:val="20"/>
    </w:rPr>
  </w:style>
  <w:style w:type="character" w:styleId="UnresolvedMention">
    <w:name w:val="Unresolved Mention"/>
    <w:basedOn w:val="DefaultParagraphFont"/>
    <w:uiPriority w:val="99"/>
    <w:semiHidden/>
    <w:unhideWhenUsed/>
    <w:rsid w:val="0060790E"/>
    <w:rPr>
      <w:color w:val="605E5C"/>
      <w:shd w:val="clear" w:color="auto" w:fill="E1DFDD"/>
    </w:rPr>
  </w:style>
  <w:style w:type="character" w:customStyle="1" w:styleId="Heading1Char">
    <w:name w:val="Heading 1 Char"/>
    <w:basedOn w:val="DefaultParagraphFont"/>
    <w:link w:val="Heading1"/>
    <w:uiPriority w:val="9"/>
    <w:rsid w:val="00F51A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1A0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44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13D"/>
    <w:rPr>
      <w:rFonts w:ascii="Arial" w:hAnsi="Arial"/>
      <w:kern w:val="0"/>
      <w:sz w:val="20"/>
    </w:rPr>
  </w:style>
  <w:style w:type="paragraph" w:styleId="Footer">
    <w:name w:val="footer"/>
    <w:basedOn w:val="Normal"/>
    <w:link w:val="FooterChar"/>
    <w:uiPriority w:val="99"/>
    <w:unhideWhenUsed/>
    <w:rsid w:val="00244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13D"/>
    <w:rPr>
      <w:rFonts w:ascii="Arial" w:hAnsi="Arial"/>
      <w:kern w:val="0"/>
      <w:sz w:val="20"/>
    </w:rPr>
  </w:style>
  <w:style w:type="character" w:styleId="PageNumber">
    <w:name w:val="page number"/>
    <w:basedOn w:val="DefaultParagraphFont"/>
    <w:uiPriority w:val="99"/>
    <w:semiHidden/>
    <w:unhideWhenUsed/>
    <w:rsid w:val="00C73292"/>
  </w:style>
  <w:style w:type="character" w:styleId="PlaceholderText">
    <w:name w:val="Placeholder Text"/>
    <w:basedOn w:val="DefaultParagraphFont"/>
    <w:uiPriority w:val="51"/>
    <w:rsid w:val="006A1AE3"/>
    <w:rPr>
      <w:color w:val="808080"/>
    </w:rPr>
  </w:style>
  <w:style w:type="character" w:customStyle="1" w:styleId="ui-provider">
    <w:name w:val="ui-provider"/>
    <w:basedOn w:val="DefaultParagraphFont"/>
    <w:rsid w:val="00D837AA"/>
  </w:style>
  <w:style w:type="paragraph" w:styleId="Revision">
    <w:name w:val="Revision"/>
    <w:hidden/>
    <w:uiPriority w:val="99"/>
    <w:semiHidden/>
    <w:rsid w:val="00436933"/>
    <w:pPr>
      <w:spacing w:after="0" w:line="240" w:lineRule="auto"/>
    </w:pPr>
    <w:rPr>
      <w:rFonts w:ascii="Arial" w:hAnsi="Arial"/>
      <w:kern w:val="0"/>
      <w:sz w:val="20"/>
    </w:rPr>
  </w:style>
  <w:style w:type="character" w:styleId="CommentReference">
    <w:name w:val="annotation reference"/>
    <w:basedOn w:val="DefaultParagraphFont"/>
    <w:uiPriority w:val="99"/>
    <w:semiHidden/>
    <w:unhideWhenUsed/>
    <w:rsid w:val="00436933"/>
    <w:rPr>
      <w:sz w:val="16"/>
      <w:szCs w:val="16"/>
    </w:rPr>
  </w:style>
  <w:style w:type="paragraph" w:styleId="CommentText">
    <w:name w:val="annotation text"/>
    <w:basedOn w:val="Normal"/>
    <w:link w:val="CommentTextChar"/>
    <w:uiPriority w:val="99"/>
    <w:unhideWhenUsed/>
    <w:rsid w:val="00436933"/>
    <w:pPr>
      <w:spacing w:line="240" w:lineRule="auto"/>
    </w:pPr>
    <w:rPr>
      <w:szCs w:val="20"/>
    </w:rPr>
  </w:style>
  <w:style w:type="character" w:customStyle="1" w:styleId="CommentTextChar">
    <w:name w:val="Comment Text Char"/>
    <w:basedOn w:val="DefaultParagraphFont"/>
    <w:link w:val="CommentText"/>
    <w:uiPriority w:val="99"/>
    <w:rsid w:val="00436933"/>
    <w:rPr>
      <w:rFonts w:ascii="Arial" w:hAnsi="Arial"/>
      <w:kern w:val="0"/>
      <w:sz w:val="20"/>
      <w:szCs w:val="20"/>
    </w:rPr>
  </w:style>
  <w:style w:type="paragraph" w:styleId="CommentSubject">
    <w:name w:val="annotation subject"/>
    <w:basedOn w:val="CommentText"/>
    <w:next w:val="CommentText"/>
    <w:link w:val="CommentSubjectChar"/>
    <w:uiPriority w:val="99"/>
    <w:semiHidden/>
    <w:unhideWhenUsed/>
    <w:rsid w:val="00436933"/>
    <w:rPr>
      <w:b/>
      <w:bCs/>
    </w:rPr>
  </w:style>
  <w:style w:type="character" w:customStyle="1" w:styleId="CommentSubjectChar">
    <w:name w:val="Comment Subject Char"/>
    <w:basedOn w:val="CommentTextChar"/>
    <w:link w:val="CommentSubject"/>
    <w:uiPriority w:val="99"/>
    <w:semiHidden/>
    <w:rsid w:val="00436933"/>
    <w:rPr>
      <w:rFonts w:ascii="Arial" w:hAnsi="Arial"/>
      <w:b/>
      <w:bCs/>
      <w:kern w:val="0"/>
      <w:sz w:val="20"/>
      <w:szCs w:val="20"/>
    </w:rPr>
  </w:style>
  <w:style w:type="character" w:styleId="FollowedHyperlink">
    <w:name w:val="FollowedHyperlink"/>
    <w:basedOn w:val="DefaultParagraphFont"/>
    <w:uiPriority w:val="99"/>
    <w:semiHidden/>
    <w:unhideWhenUsed/>
    <w:rsid w:val="002136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40353">
      <w:bodyDiv w:val="1"/>
      <w:marLeft w:val="0"/>
      <w:marRight w:val="0"/>
      <w:marTop w:val="0"/>
      <w:marBottom w:val="0"/>
      <w:divBdr>
        <w:top w:val="none" w:sz="0" w:space="0" w:color="auto"/>
        <w:left w:val="none" w:sz="0" w:space="0" w:color="auto"/>
        <w:bottom w:val="none" w:sz="0" w:space="0" w:color="auto"/>
        <w:right w:val="none" w:sz="0" w:space="0" w:color="auto"/>
      </w:divBdr>
    </w:div>
    <w:div w:id="1064833764">
      <w:bodyDiv w:val="1"/>
      <w:marLeft w:val="0"/>
      <w:marRight w:val="0"/>
      <w:marTop w:val="0"/>
      <w:marBottom w:val="0"/>
      <w:divBdr>
        <w:top w:val="none" w:sz="0" w:space="0" w:color="auto"/>
        <w:left w:val="none" w:sz="0" w:space="0" w:color="auto"/>
        <w:bottom w:val="none" w:sz="0" w:space="0" w:color="auto"/>
        <w:right w:val="none" w:sz="0" w:space="0" w:color="auto"/>
      </w:divBdr>
    </w:div>
    <w:div w:id="1262569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ir.qld.gov.au/" TargetMode="External"/><Relationship Id="rId18" Type="http://schemas.openxmlformats.org/officeDocument/2006/relationships/image" Target="media/image7.png"/><Relationship Id="rId26" Type="http://schemas.openxmlformats.org/officeDocument/2006/relationships/hyperlink" Target="https://www.worksafe.qld.gov.au/laws-and-compliance/codes-of-practice" TargetMode="External"/><Relationship Id="rId3" Type="http://schemas.openxmlformats.org/officeDocument/2006/relationships/customXml" Target="../customXml/item3.xml"/><Relationship Id="rId21" Type="http://schemas.openxmlformats.org/officeDocument/2006/relationships/image" Target="media/image10.svg"/><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6.svg"/><Relationship Id="rId25" Type="http://schemas.openxmlformats.org/officeDocument/2006/relationships/image" Target="media/image14.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image" Target="media/image12.svg"/><Relationship Id="rId28" Type="http://schemas.openxmlformats.org/officeDocument/2006/relationships/hyperlink" Target="http://www.smartjobs.qld.gov.au).T" TargetMode="External"/><Relationship Id="rId10" Type="http://schemas.openxmlformats.org/officeDocument/2006/relationships/endnotes" Target="endnotes.xml"/><Relationship Id="rId19" Type="http://schemas.openxmlformats.org/officeDocument/2006/relationships/image" Target="media/image8.sv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s://www.forgov.qld.gov.au/working-in-the-public-service/leadership-and-learning-hub/build-capability/capability-frameworks-and-strategies/leadership-competencies-for-queensland" TargetMode="External"/><Relationship Id="rId30" Type="http://schemas.openxmlformats.org/officeDocument/2006/relationships/footer" Target="footer2.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6.jpg"/></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leyD\OneDrive%20-%20Office%20of%20Industrial%20Relations\Desktop\Role%20Description%20-%20Regional%20Direct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262547A25F43C8B20D6B1080779892"/>
        <w:category>
          <w:name w:val="General"/>
          <w:gallery w:val="placeholder"/>
        </w:category>
        <w:types>
          <w:type w:val="bbPlcHdr"/>
        </w:types>
        <w:behaviors>
          <w:behavior w:val="content"/>
        </w:behaviors>
        <w:guid w:val="{47F5F6A2-F89D-44C3-BD5D-4A288FE2FD57}"/>
      </w:docPartPr>
      <w:docPartBody>
        <w:p w:rsidR="00C57E82" w:rsidRDefault="00C57E82" w:rsidP="00C57E82">
          <w:pPr>
            <w:pStyle w:val="58262547A25F43C8B20D6B1080779892"/>
          </w:pPr>
          <w:r w:rsidRPr="00DD0E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82"/>
    <w:rsid w:val="0028168F"/>
    <w:rsid w:val="00C57E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51"/>
    <w:rsid w:val="00C57E82"/>
    <w:rPr>
      <w:color w:val="808080"/>
    </w:rPr>
  </w:style>
  <w:style w:type="paragraph" w:customStyle="1" w:styleId="58262547A25F43C8B20D6B1080779892">
    <w:name w:val="58262547A25F43C8B20D6B1080779892"/>
    <w:rsid w:val="00C57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ileDocumentNotes xmlns="15eb3c83-ef2b-4bbe-9cb5-c9a660b397ff" xsi:nil="true"/>
    <SpecifyReason xmlns="b00d98e7-d6a0-4b91-a164-7702ea005ab6" xsi:nil="true"/>
    <RecordNumber xmlns="15eb3c83-ef2b-4bbe-9cb5-c9a660b397ff" xsi:nil="true"/>
    <RecruitmentandSelectionDocumentType xmlns="b00d98e7-d6a0-4b91-a164-7702ea005ab6">Role description</RecruitmentandSelectionDocumentType>
    <PhysicalDocumentRetained xmlns="15eb3c83-ef2b-4bbe-9cb5-c9a660b397ff">No</PhysicalDocumentRetained>
    <CommentsDescription xmlns="15eb3c83-ef2b-4bbe-9cb5-c9a660b397ff" xsi:nil="true"/>
    <RecordID xmlns="b00d98e7-d6a0-4b91-a164-7702ea005ab6">5-REC1661</RecordID>
  </documentManagement>
</p:properties>
</file>

<file path=customXml/item4.xml><?xml version="1.0" encoding="utf-8"?>
<ct:contentTypeSchema xmlns:ct="http://schemas.microsoft.com/office/2006/metadata/contentType" xmlns:ma="http://schemas.microsoft.com/office/2006/metadata/properties/metaAttributes" ct:_="" ma:_="" ma:contentTypeName="Administration Document" ma:contentTypeID="0x0101006C62D74742335649A7941BA971D70E530100D5FCB2EF7C9CEC45947C2DE6D9250FF7" ma:contentTypeVersion="24" ma:contentTypeDescription="" ma:contentTypeScope="" ma:versionID="6b0604411a8532938fbe5cdcf0ab3ff9">
  <xsd:schema xmlns:xsd="http://www.w3.org/2001/XMLSchema" xmlns:xs="http://www.w3.org/2001/XMLSchema" xmlns:p="http://schemas.microsoft.com/office/2006/metadata/properties" xmlns:ns2="15eb3c83-ef2b-4bbe-9cb5-c9a660b397ff" xmlns:ns3="b00d98e7-d6a0-4b91-a164-7702ea005ab6" targetNamespace="http://schemas.microsoft.com/office/2006/metadata/properties" ma:root="true" ma:fieldsID="292ba46bf83afcd0ceba5264a343d100" ns2:_="" ns3:_="">
    <xsd:import namespace="15eb3c83-ef2b-4bbe-9cb5-c9a660b397ff"/>
    <xsd:import namespace="b00d98e7-d6a0-4b91-a164-7702ea005ab6"/>
    <xsd:element name="properties">
      <xsd:complexType>
        <xsd:sequence>
          <xsd:element name="documentManagement">
            <xsd:complexType>
              <xsd:all>
                <xsd:element ref="ns2:RecordNumber" minOccurs="0"/>
                <xsd:element ref="ns2:FileDocumentNotes" minOccurs="0"/>
                <xsd:element ref="ns3:RecruitmentandSelectionDocumentType" minOccurs="0"/>
                <xsd:element ref="ns3:SpecifyReason" minOccurs="0"/>
                <xsd:element ref="ns2:PhysicalDocumentRetained" minOccurs="0"/>
                <xsd:element ref="ns3:RecordID" minOccurs="0"/>
                <xsd:element ref="ns2:CommentsDescription" minOccurs="0"/>
                <xsd:element ref="ns3:MediaServiceMetadata" minOccurs="0"/>
                <xsd:element ref="ns3:MediaServiceFastMetadata" minOccurs="0"/>
                <xsd:element ref="ns3:MediaServiceSearchProperties"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c83-ef2b-4bbe-9cb5-c9a660b397ff" elementFormDefault="qualified">
    <xsd:import namespace="http://schemas.microsoft.com/office/2006/documentManagement/types"/>
    <xsd:import namespace="http://schemas.microsoft.com/office/infopath/2007/PartnerControls"/>
    <xsd:element name="RecordNumber" ma:index="1" nillable="true" ma:displayName="Record number" ma:internalName="RecordNumber" ma:readOnly="false">
      <xsd:simpleType>
        <xsd:restriction base="dms:Text">
          <xsd:maxLength value="255"/>
        </xsd:restriction>
      </xsd:simpleType>
    </xsd:element>
    <xsd:element name="FileDocumentNotes" ma:index="2" nillable="true" ma:displayName="File/Document notes" ma:internalName="FileDocumentNotes" ma:readOnly="false">
      <xsd:simpleType>
        <xsd:restriction base="dms:Note">
          <xsd:maxLength value="255"/>
        </xsd:restriction>
      </xsd:simpleType>
    </xsd:element>
    <xsd:element name="PhysicalDocumentRetained" ma:index="5" nillable="true" ma:displayName="Physical document retained" ma:default="No" ma:format="RadioButtons" ma:internalName="PhysicalDocumentRetained" ma:readOnly="false">
      <xsd:simpleType>
        <xsd:restriction base="dms:Choice">
          <xsd:enumeration value="No"/>
          <xsd:enumeration value="Yes"/>
        </xsd:restriction>
      </xsd:simpleType>
    </xsd:element>
    <xsd:element name="CommentsDescription" ma:index="7" nillable="true" ma:displayName="Comments/Description" ma:internalName="CommentsDescription" ma:readOnly="fals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0d98e7-d6a0-4b91-a164-7702ea005ab6" elementFormDefault="qualified">
    <xsd:import namespace="http://schemas.microsoft.com/office/2006/documentManagement/types"/>
    <xsd:import namespace="http://schemas.microsoft.com/office/infopath/2007/PartnerControls"/>
    <xsd:element name="RecruitmentandSelectionDocumentType" ma:index="3" nillable="true" ma:displayName="Recruitment and selection document type" ma:format="Dropdown" ma:internalName="RecruitmentandSelectionDocumentType" ma:readOnly="false">
      <xsd:simpleType>
        <xsd:restriction base="dms:Choice">
          <xsd:enumeration value="Application/s"/>
          <xsd:enumeration value="Approval"/>
          <xsd:enumeration value="Criminal history check"/>
          <xsd:enumeration value="Employment contract"/>
          <xsd:enumeration value="Interview questions and notes"/>
          <xsd:enumeration value="Letter of offer"/>
          <xsd:enumeration value="Referee reports"/>
          <xsd:enumeration value="Role description"/>
          <xsd:enumeration value="Selection report"/>
          <xsd:enumeration value="Shortlisting"/>
          <xsd:enumeration value="Other"/>
        </xsd:restriction>
      </xsd:simpleType>
    </xsd:element>
    <xsd:element name="SpecifyReason" ma:index="4" nillable="true" ma:displayName="Specify reason" ma:internalName="SpecifyReason" ma:readOnly="false">
      <xsd:simpleType>
        <xsd:restriction base="dms:Text">
          <xsd:maxLength value="255"/>
        </xsd:restriction>
      </xsd:simpleType>
    </xsd:element>
    <xsd:element name="RecordID" ma:index="6" nillable="true" ma:displayName="Record ID" ma:internalName="RecordID" ma:readOnly="fals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description="" ma:hidden="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8D0F6-20DE-411A-A414-A21BE30761DF}">
  <ds:schemaRefs>
    <ds:schemaRef ds:uri="http://schemas.microsoft.com/sharepoint/v3/contenttype/forms"/>
  </ds:schemaRefs>
</ds:datastoreItem>
</file>

<file path=customXml/itemProps2.xml><?xml version="1.0" encoding="utf-8"?>
<ds:datastoreItem xmlns:ds="http://schemas.openxmlformats.org/officeDocument/2006/customXml" ds:itemID="{CBF9E57C-9A19-4203-9258-2BA13FDFFB01}">
  <ds:schemaRefs>
    <ds:schemaRef ds:uri="http://schemas.openxmlformats.org/officeDocument/2006/bibliography"/>
  </ds:schemaRefs>
</ds:datastoreItem>
</file>

<file path=customXml/itemProps3.xml><?xml version="1.0" encoding="utf-8"?>
<ds:datastoreItem xmlns:ds="http://schemas.openxmlformats.org/officeDocument/2006/customXml" ds:itemID="{E3D43A24-5F6C-42B3-8652-C003975DEE24}">
  <ds:schemaRefs>
    <ds:schemaRef ds:uri="http://schemas.microsoft.com/office/2006/metadata/properties"/>
    <ds:schemaRef ds:uri="http://schemas.microsoft.com/office/infopath/2007/PartnerControls"/>
    <ds:schemaRef ds:uri="15eb3c83-ef2b-4bbe-9cb5-c9a660b397ff"/>
    <ds:schemaRef ds:uri="b00d98e7-d6a0-4b91-a164-7702ea005ab6"/>
  </ds:schemaRefs>
</ds:datastoreItem>
</file>

<file path=customXml/itemProps4.xml><?xml version="1.0" encoding="utf-8"?>
<ds:datastoreItem xmlns:ds="http://schemas.openxmlformats.org/officeDocument/2006/customXml" ds:itemID="{CAC0C822-E34A-4891-9679-4162CCC4E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b3c83-ef2b-4bbe-9cb5-c9a660b397ff"/>
    <ds:schemaRef ds:uri="b00d98e7-d6a0-4b91-a164-7702ea005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Role Description - Regional Director</Template>
  <TotalTime>4</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Bailey</dc:creator>
  <cp:keywords/>
  <dc:description/>
  <cp:lastModifiedBy>Karl Merker</cp:lastModifiedBy>
  <cp:revision>3</cp:revision>
  <dcterms:created xsi:type="dcterms:W3CDTF">2024-07-02T03:36:00Z</dcterms:created>
  <dcterms:modified xsi:type="dcterms:W3CDTF">2024-07-02T03:40:00Z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250796260</vt:i4>
  </property>
  <property fmtid="{D5CDD505-2E9C-101B-9397-08002B2CF9AE}" pid="3" name="_NewReviewCycle">
    <vt:lpwstr/>
  </property>
  <property fmtid="{D5CDD505-2E9C-101B-9397-08002B2CF9AE}" pid="4" name="_EmailSubject">
    <vt:lpwstr>New PD template</vt:lpwstr>
  </property>
  <property fmtid="{D5CDD505-2E9C-101B-9397-08002B2CF9AE}" pid="5" name="_AuthorEmail">
    <vt:lpwstr>OEDCFS@oir.qld.gov.au</vt:lpwstr>
  </property>
  <property fmtid="{D5CDD505-2E9C-101B-9397-08002B2CF9AE}" pid="6" name="_AuthorEmailDisplayName">
    <vt:lpwstr>OEDCFS</vt:lpwstr>
  </property>
  <property fmtid="{D5CDD505-2E9C-101B-9397-08002B2CF9AE}" pid="7" name="_PreviousAdHocReviewCycleID">
    <vt:i4>-1120234528</vt:i4>
  </property>
  <property fmtid="{D5CDD505-2E9C-101B-9397-08002B2CF9AE}" pid="8" name="_ReviewingToolsShownOnce">
    <vt:lpwstr/>
  </property>
  <property fmtid="{D5CDD505-2E9C-101B-9397-08002B2CF9AE}" pid="9" name="ContentTypeId">
    <vt:lpwstr>0x0101006C62D74742335649A7941BA971D70E530100D5FCB2EF7C9CEC45947C2DE6D9250FF7</vt:lpwstr>
  </property>
  <property fmtid="{D5CDD505-2E9C-101B-9397-08002B2CF9AE}" pid="10" name="WorkflowChangePath">
    <vt:lpwstr>66cbb4a6-6d74-4d10-b880-e46f1ac4ccc2,4;</vt:lpwstr>
  </property>
  <property fmtid="{D5CDD505-2E9C-101B-9397-08002B2CF9AE}" pid="11" name="EditPermissions">
    <vt:lpwstr/>
  </property>
  <property fmtid="{D5CDD505-2E9C-101B-9397-08002B2CF9AE}" pid="12" name="DocumentSetDescription">
    <vt:lpwstr/>
  </property>
  <property fmtid="{D5CDD505-2E9C-101B-9397-08002B2CF9AE}" pid="13" name="me9e23cdcd6e4ceaa541b246eab01d60">
    <vt:lpwstr/>
  </property>
  <property fmtid="{D5CDD505-2E9C-101B-9397-08002B2CF9AE}" pid="14" name="PositionNumber">
    <vt:lpwstr/>
  </property>
  <property fmtid="{D5CDD505-2E9C-101B-9397-08002B2CF9AE}" pid="15" name="_ExtendedDescription">
    <vt:lpwstr/>
  </property>
  <property fmtid="{D5CDD505-2E9C-101B-9397-08002B2CF9AE}" pid="16" name="ReadPermissions">
    <vt:lpwstr/>
  </property>
  <property fmtid="{D5CDD505-2E9C-101B-9397-08002B2CF9AE}" pid="17" name="Business unit">
    <vt:lpwstr/>
  </property>
  <property fmtid="{D5CDD505-2E9C-101B-9397-08002B2CF9AE}" pid="18" name="AdminFileStatus">
    <vt:lpwstr/>
  </property>
  <property fmtid="{D5CDD505-2E9C-101B-9397-08002B2CF9AE}" pid="19" name="TaxCatchAll">
    <vt:lpwstr/>
  </property>
</Properties>
</file>