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4"/>
        <w:gridCol w:w="4852"/>
        <w:gridCol w:w="4740"/>
      </w:tblGrid>
      <w:tr w:rsidR="00FE46FF" w:rsidRPr="00201676" w14:paraId="0FD1DD04" w14:textId="46044D25" w:rsidTr="00745CA1">
        <w:trPr>
          <w:trHeight w:val="787"/>
        </w:trPr>
        <w:tc>
          <w:tcPr>
            <w:tcW w:w="846" w:type="dxa"/>
            <w:shd w:val="clear" w:color="auto" w:fill="auto"/>
          </w:tcPr>
          <w:p w14:paraId="4FAB48A1" w14:textId="27C561B5" w:rsidR="00F16184" w:rsidRDefault="008B7571" w:rsidP="0002235C">
            <w:pPr>
              <w:rPr>
                <w:b/>
                <w:bCs/>
                <w:noProof/>
                <w:sz w:val="18"/>
                <w:szCs w:val="18"/>
              </w:rPr>
            </w:pPr>
            <w:r w:rsidRPr="000D7A82">
              <w:rPr>
                <w:b/>
                <w:bCs/>
                <w:noProof/>
                <w:sz w:val="18"/>
                <w:szCs w:val="18"/>
              </w:rPr>
              <w:drawing>
                <wp:inline distT="0" distB="0" distL="0" distR="0" wp14:anchorId="5A42286E" wp14:editId="3715EF56">
                  <wp:extent cx="405441" cy="405441"/>
                  <wp:effectExtent l="0" t="0" r="0" b="0"/>
                  <wp:docPr id="10" name="Graphic 10" descr="Clo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lock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12505" cy="412505"/>
                          </a:xfrm>
                          <a:prstGeom prst="rect">
                            <a:avLst/>
                          </a:prstGeom>
                        </pic:spPr>
                      </pic:pic>
                    </a:graphicData>
                  </a:graphic>
                </wp:inline>
              </w:drawing>
            </w:r>
          </w:p>
          <w:p w14:paraId="55A44755" w14:textId="4D2EC752" w:rsidR="008B7571" w:rsidRPr="000D7A82" w:rsidRDefault="008B7571" w:rsidP="0002235C">
            <w:pPr>
              <w:rPr>
                <w:b/>
                <w:bCs/>
                <w:noProof/>
                <w:sz w:val="18"/>
                <w:szCs w:val="18"/>
              </w:rPr>
            </w:pPr>
          </w:p>
        </w:tc>
        <w:tc>
          <w:tcPr>
            <w:tcW w:w="4857" w:type="dxa"/>
            <w:shd w:val="clear" w:color="auto" w:fill="auto"/>
          </w:tcPr>
          <w:p w14:paraId="1A517068" w14:textId="0AC839F7" w:rsidR="00FE46FF" w:rsidRPr="000D7A82" w:rsidRDefault="00FE46FF" w:rsidP="008B7571">
            <w:pPr>
              <w:spacing w:before="120"/>
              <w:rPr>
                <w:b/>
                <w:bCs/>
                <w:sz w:val="18"/>
                <w:szCs w:val="18"/>
              </w:rPr>
            </w:pPr>
            <w:r w:rsidRPr="000D7A82">
              <w:rPr>
                <w:b/>
                <w:bCs/>
                <w:sz w:val="18"/>
                <w:szCs w:val="18"/>
              </w:rPr>
              <w:t>Role type</w:t>
            </w:r>
          </w:p>
          <w:p w14:paraId="4152082B" w14:textId="5EF99A23" w:rsidR="001071E0" w:rsidRPr="000D7A82" w:rsidRDefault="00C7427D" w:rsidP="00F16184">
            <w:pPr>
              <w:rPr>
                <w:sz w:val="18"/>
                <w:szCs w:val="18"/>
              </w:rPr>
            </w:pPr>
            <w:r w:rsidRPr="006D5BD7">
              <w:rPr>
                <w:sz w:val="18"/>
                <w:szCs w:val="18"/>
              </w:rPr>
              <w:t>F</w:t>
            </w:r>
            <w:r w:rsidR="006D5BD7" w:rsidRPr="006D5BD7">
              <w:rPr>
                <w:sz w:val="18"/>
                <w:szCs w:val="18"/>
              </w:rPr>
              <w:t>ull-time</w:t>
            </w:r>
            <w:r w:rsidR="006D5BD7">
              <w:rPr>
                <w:sz w:val="18"/>
                <w:szCs w:val="18"/>
              </w:rPr>
              <w:t xml:space="preserve"> permanent</w:t>
            </w:r>
          </w:p>
        </w:tc>
        <w:tc>
          <w:tcPr>
            <w:tcW w:w="4743" w:type="dxa"/>
            <w:vMerge w:val="restart"/>
            <w:shd w:val="clear" w:color="auto" w:fill="CBD3ED"/>
          </w:tcPr>
          <w:p w14:paraId="3256A4A5" w14:textId="4CD8F83B" w:rsidR="0024317B" w:rsidRDefault="0002235C" w:rsidP="008B7571">
            <w:pPr>
              <w:spacing w:before="120" w:after="120" w:line="259" w:lineRule="auto"/>
              <w:ind w:left="113" w:right="164"/>
              <w:jc w:val="both"/>
              <w:rPr>
                <w:szCs w:val="21"/>
              </w:rPr>
            </w:pPr>
            <w:r w:rsidRPr="0002235C">
              <w:rPr>
                <w:szCs w:val="21"/>
              </w:rPr>
              <w:t>Our purpose is to deliver contemporary regulatory and other government services to Queenslanders</w:t>
            </w:r>
            <w:r w:rsidR="00EA561D">
              <w:rPr>
                <w:szCs w:val="21"/>
              </w:rPr>
              <w:t>.</w:t>
            </w:r>
          </w:p>
          <w:p w14:paraId="07981CA6" w14:textId="718FBE94" w:rsidR="005F538E" w:rsidRDefault="0024317B" w:rsidP="008B7571">
            <w:pPr>
              <w:spacing w:before="120" w:after="120" w:line="259" w:lineRule="auto"/>
              <w:ind w:left="113" w:right="164"/>
              <w:jc w:val="both"/>
              <w:rPr>
                <w:szCs w:val="21"/>
              </w:rPr>
            </w:pPr>
            <w:r>
              <w:rPr>
                <w:szCs w:val="21"/>
              </w:rPr>
              <w:t xml:space="preserve">Our </w:t>
            </w:r>
            <w:r w:rsidR="0002235C" w:rsidRPr="0002235C">
              <w:rPr>
                <w:szCs w:val="21"/>
              </w:rPr>
              <w:t>vision is for Queensland workers, industry and communities, to be healthy, safe, fair and productive.</w:t>
            </w:r>
          </w:p>
          <w:p w14:paraId="3E95EF3C" w14:textId="50329507" w:rsidR="0002235C" w:rsidRPr="0002235C" w:rsidRDefault="0002235C" w:rsidP="008B7571">
            <w:pPr>
              <w:spacing w:before="120" w:after="120" w:line="259" w:lineRule="auto"/>
              <w:ind w:left="113" w:right="164"/>
              <w:jc w:val="both"/>
              <w:rPr>
                <w:szCs w:val="21"/>
              </w:rPr>
            </w:pPr>
            <w:r w:rsidRPr="0002235C">
              <w:rPr>
                <w:szCs w:val="21"/>
              </w:rPr>
              <w:t xml:space="preserve">To achieve </w:t>
            </w:r>
            <w:r w:rsidR="0024317B">
              <w:rPr>
                <w:szCs w:val="21"/>
              </w:rPr>
              <w:t>this</w:t>
            </w:r>
            <w:r w:rsidR="008D28FC">
              <w:rPr>
                <w:szCs w:val="21"/>
              </w:rPr>
              <w:t xml:space="preserve">, </w:t>
            </w:r>
            <w:r w:rsidRPr="0002235C">
              <w:rPr>
                <w:szCs w:val="21"/>
              </w:rPr>
              <w:t>we focus on three priorities:</w:t>
            </w:r>
          </w:p>
          <w:p w14:paraId="3A1A2ACE" w14:textId="77777777" w:rsidR="005F538E" w:rsidRPr="00EA561D" w:rsidRDefault="0002235C" w:rsidP="008B7571">
            <w:pPr>
              <w:spacing w:before="120" w:after="120" w:line="259" w:lineRule="auto"/>
              <w:ind w:left="113" w:right="164"/>
              <w:jc w:val="both"/>
              <w:rPr>
                <w:color w:val="2F5496" w:themeColor="accent1" w:themeShade="BF"/>
                <w:sz w:val="22"/>
              </w:rPr>
            </w:pPr>
            <w:r w:rsidRPr="00EA561D">
              <w:rPr>
                <w:color w:val="2F5496" w:themeColor="accent1" w:themeShade="BF"/>
                <w:sz w:val="22"/>
              </w:rPr>
              <w:t xml:space="preserve">Industry, community and partnerships </w:t>
            </w:r>
          </w:p>
          <w:p w14:paraId="782644E5" w14:textId="77777777" w:rsidR="005F538E" w:rsidRPr="00EA561D" w:rsidRDefault="0002235C" w:rsidP="008B7571">
            <w:pPr>
              <w:spacing w:before="120" w:after="120" w:line="259" w:lineRule="auto"/>
              <w:ind w:left="113" w:right="164"/>
              <w:jc w:val="both"/>
              <w:rPr>
                <w:color w:val="2F5496" w:themeColor="accent1" w:themeShade="BF"/>
                <w:sz w:val="22"/>
              </w:rPr>
            </w:pPr>
            <w:r w:rsidRPr="00EA561D">
              <w:rPr>
                <w:color w:val="2F5496" w:themeColor="accent1" w:themeShade="BF"/>
                <w:sz w:val="22"/>
              </w:rPr>
              <w:t xml:space="preserve">Regulatory standards </w:t>
            </w:r>
          </w:p>
          <w:p w14:paraId="63DAC324" w14:textId="52BB57DB" w:rsidR="0002235C" w:rsidRPr="00EA561D" w:rsidRDefault="0002235C" w:rsidP="008B7571">
            <w:pPr>
              <w:spacing w:before="120" w:after="120" w:line="259" w:lineRule="auto"/>
              <w:ind w:left="113" w:right="164"/>
              <w:jc w:val="both"/>
              <w:rPr>
                <w:color w:val="2F5496" w:themeColor="accent1" w:themeShade="BF"/>
                <w:sz w:val="24"/>
                <w:szCs w:val="24"/>
              </w:rPr>
            </w:pPr>
            <w:r w:rsidRPr="00EA561D">
              <w:rPr>
                <w:color w:val="2F5496" w:themeColor="accent1" w:themeShade="BF"/>
                <w:sz w:val="22"/>
              </w:rPr>
              <w:t>Our people</w:t>
            </w:r>
          </w:p>
          <w:p w14:paraId="472EF4C7" w14:textId="3F800048" w:rsidR="00B8679B" w:rsidRDefault="0024317B" w:rsidP="008B7571">
            <w:pPr>
              <w:spacing w:before="120" w:after="120" w:line="259" w:lineRule="auto"/>
              <w:ind w:left="113" w:right="164"/>
              <w:jc w:val="both"/>
              <w:rPr>
                <w:szCs w:val="21"/>
              </w:rPr>
            </w:pPr>
            <w:r>
              <w:rPr>
                <w:szCs w:val="21"/>
              </w:rPr>
              <w:t xml:space="preserve">At the OIR we, improve </w:t>
            </w:r>
            <w:r w:rsidR="00FE46FF" w:rsidRPr="0002235C">
              <w:rPr>
                <w:szCs w:val="21"/>
              </w:rPr>
              <w:t>work health and safety in Queensland and help to reduce the risk of workers being</w:t>
            </w:r>
            <w:r w:rsidR="00637837">
              <w:rPr>
                <w:szCs w:val="21"/>
              </w:rPr>
              <w:t xml:space="preserve"> </w:t>
            </w:r>
            <w:r w:rsidR="00FE46FF" w:rsidRPr="0002235C">
              <w:rPr>
                <w:szCs w:val="21"/>
              </w:rPr>
              <w:t>killed or injured on the job</w:t>
            </w:r>
            <w:r w:rsidR="0002235C" w:rsidRPr="0002235C">
              <w:rPr>
                <w:szCs w:val="21"/>
              </w:rPr>
              <w:t xml:space="preserve">; </w:t>
            </w:r>
            <w:r w:rsidR="00FE46FF" w:rsidRPr="0002235C">
              <w:rPr>
                <w:szCs w:val="21"/>
              </w:rPr>
              <w:t>develop</w:t>
            </w:r>
            <w:r w:rsidR="00F8349F" w:rsidRPr="0002235C">
              <w:rPr>
                <w:szCs w:val="21"/>
              </w:rPr>
              <w:t xml:space="preserve"> </w:t>
            </w:r>
            <w:r w:rsidR="00FE46FF" w:rsidRPr="0002235C">
              <w:rPr>
                <w:szCs w:val="21"/>
              </w:rPr>
              <w:t>and enforce standards for electrical safety in Queensland</w:t>
            </w:r>
            <w:r w:rsidR="0002235C" w:rsidRPr="0002235C">
              <w:rPr>
                <w:szCs w:val="21"/>
              </w:rPr>
              <w:t xml:space="preserve">; </w:t>
            </w:r>
            <w:r w:rsidR="00FE46FF" w:rsidRPr="0002235C">
              <w:rPr>
                <w:szCs w:val="21"/>
              </w:rPr>
              <w:t>regulate workers’ compensation</w:t>
            </w:r>
            <w:r w:rsidR="00F8349F" w:rsidRPr="0002235C">
              <w:rPr>
                <w:szCs w:val="21"/>
              </w:rPr>
              <w:t>; and</w:t>
            </w:r>
            <w:r w:rsidR="0002235C" w:rsidRPr="0002235C">
              <w:rPr>
                <w:szCs w:val="21"/>
              </w:rPr>
              <w:t xml:space="preserve"> </w:t>
            </w:r>
            <w:r w:rsidR="00FE46FF" w:rsidRPr="0002235C">
              <w:rPr>
                <w:szCs w:val="21"/>
              </w:rPr>
              <w:t>support improved productivity and fairness in Queensland workplaces</w:t>
            </w:r>
            <w:r w:rsidR="0002235C" w:rsidRPr="0002235C">
              <w:rPr>
                <w:szCs w:val="21"/>
              </w:rPr>
              <w:t xml:space="preserve">. We also provide </w:t>
            </w:r>
            <w:r>
              <w:rPr>
                <w:szCs w:val="21"/>
              </w:rPr>
              <w:t xml:space="preserve">a range of </w:t>
            </w:r>
            <w:r w:rsidR="0002235C" w:rsidRPr="0002235C">
              <w:rPr>
                <w:szCs w:val="21"/>
              </w:rPr>
              <w:t>business and corporate services.</w:t>
            </w:r>
            <w:r w:rsidR="00B8679B">
              <w:rPr>
                <w:szCs w:val="21"/>
              </w:rPr>
              <w:t xml:space="preserve"> </w:t>
            </w:r>
          </w:p>
          <w:p w14:paraId="2E10616E" w14:textId="62E0050F" w:rsidR="00180C3D" w:rsidRPr="0002235C" w:rsidRDefault="0024317B" w:rsidP="008B7571">
            <w:pPr>
              <w:spacing w:before="120" w:after="120" w:line="259" w:lineRule="auto"/>
              <w:ind w:left="113" w:right="164"/>
              <w:jc w:val="both"/>
              <w:rPr>
                <w:color w:val="000000"/>
                <w:sz w:val="22"/>
              </w:rPr>
            </w:pPr>
            <w:r>
              <w:rPr>
                <w:szCs w:val="21"/>
              </w:rPr>
              <w:t xml:space="preserve">For more about the OIR go to </w:t>
            </w:r>
            <w:hyperlink r:id="rId13" w:history="1">
              <w:r w:rsidR="0002235C" w:rsidRPr="0002235C">
                <w:rPr>
                  <w:rStyle w:val="Hyperlink"/>
                  <w:sz w:val="21"/>
                  <w:szCs w:val="21"/>
                </w:rPr>
                <w:t>https://www.oir.qld.gov.au/</w:t>
              </w:r>
            </w:hyperlink>
          </w:p>
        </w:tc>
      </w:tr>
      <w:tr w:rsidR="00FE46FF" w:rsidRPr="00201676" w14:paraId="5031D72E" w14:textId="45767C65" w:rsidTr="00745CA1">
        <w:trPr>
          <w:trHeight w:val="787"/>
        </w:trPr>
        <w:tc>
          <w:tcPr>
            <w:tcW w:w="846" w:type="dxa"/>
            <w:shd w:val="clear" w:color="auto" w:fill="auto"/>
          </w:tcPr>
          <w:p w14:paraId="731FF4A7" w14:textId="77777777" w:rsidR="00FE46FF" w:rsidRDefault="00FE46FF" w:rsidP="0002235C">
            <w:pPr>
              <w:rPr>
                <w:b/>
                <w:bCs/>
                <w:sz w:val="18"/>
                <w:szCs w:val="18"/>
              </w:rPr>
            </w:pPr>
            <w:bookmarkStart w:id="0" w:name="_Hlk162452027"/>
            <w:r w:rsidRPr="000D7A82">
              <w:rPr>
                <w:b/>
                <w:bCs/>
                <w:noProof/>
                <w:sz w:val="18"/>
                <w:szCs w:val="18"/>
              </w:rPr>
              <w:drawing>
                <wp:inline distT="0" distB="0" distL="0" distR="0" wp14:anchorId="3F2376BF" wp14:editId="4E8F4C6F">
                  <wp:extent cx="388188" cy="388188"/>
                  <wp:effectExtent l="0" t="0" r="0" b="0"/>
                  <wp:docPr id="11" name="Graphic 11" descr="Doll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llar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94474" cy="394474"/>
                          </a:xfrm>
                          <a:prstGeom prst="rect">
                            <a:avLst/>
                          </a:prstGeom>
                        </pic:spPr>
                      </pic:pic>
                    </a:graphicData>
                  </a:graphic>
                </wp:inline>
              </w:drawing>
            </w:r>
          </w:p>
          <w:p w14:paraId="0118A9CA" w14:textId="77777777" w:rsidR="00F16184" w:rsidRPr="000D7A82" w:rsidRDefault="00F16184" w:rsidP="0002235C">
            <w:pPr>
              <w:rPr>
                <w:b/>
                <w:bCs/>
                <w:sz w:val="18"/>
                <w:szCs w:val="18"/>
              </w:rPr>
            </w:pPr>
          </w:p>
        </w:tc>
        <w:tc>
          <w:tcPr>
            <w:tcW w:w="4857" w:type="dxa"/>
            <w:shd w:val="clear" w:color="auto" w:fill="auto"/>
          </w:tcPr>
          <w:p w14:paraId="2A365ADD" w14:textId="77777777" w:rsidR="00FE46FF" w:rsidRPr="00F40135" w:rsidRDefault="00FE46FF" w:rsidP="00F16184">
            <w:pPr>
              <w:rPr>
                <w:b/>
                <w:bCs/>
                <w:sz w:val="18"/>
                <w:szCs w:val="18"/>
              </w:rPr>
            </w:pPr>
            <w:r w:rsidRPr="00F40135">
              <w:rPr>
                <w:b/>
                <w:bCs/>
                <w:sz w:val="18"/>
                <w:szCs w:val="18"/>
              </w:rPr>
              <w:t>Salary per annum</w:t>
            </w:r>
          </w:p>
          <w:p w14:paraId="35F32A7C" w14:textId="47B4C26C" w:rsidR="00F16184" w:rsidRPr="000D7A82" w:rsidRDefault="005A3761" w:rsidP="005A3761">
            <w:pPr>
              <w:rPr>
                <w:sz w:val="18"/>
                <w:szCs w:val="18"/>
              </w:rPr>
            </w:pPr>
            <w:r>
              <w:rPr>
                <w:sz w:val="18"/>
                <w:szCs w:val="18"/>
              </w:rPr>
              <w:t xml:space="preserve">$140,725 to $148,737 </w:t>
            </w:r>
            <w:r w:rsidR="00FE46FF" w:rsidRPr="00F40135">
              <w:rPr>
                <w:sz w:val="18"/>
                <w:szCs w:val="18"/>
              </w:rPr>
              <w:t>*plus up to 12.75% superannuation contributions</w:t>
            </w:r>
          </w:p>
        </w:tc>
        <w:tc>
          <w:tcPr>
            <w:tcW w:w="4743" w:type="dxa"/>
            <w:vMerge/>
            <w:shd w:val="clear" w:color="auto" w:fill="CBD3ED"/>
          </w:tcPr>
          <w:p w14:paraId="6D8F1ACF" w14:textId="77777777" w:rsidR="00FE46FF" w:rsidRPr="00F40135" w:rsidRDefault="00FE46FF" w:rsidP="0002235C">
            <w:pPr>
              <w:rPr>
                <w:b/>
                <w:bCs/>
                <w:sz w:val="18"/>
                <w:szCs w:val="18"/>
              </w:rPr>
            </w:pPr>
          </w:p>
        </w:tc>
      </w:tr>
      <w:bookmarkEnd w:id="0"/>
      <w:tr w:rsidR="00FE46FF" w:rsidRPr="00201676" w14:paraId="05736C56" w14:textId="26047B86" w:rsidTr="00745CA1">
        <w:trPr>
          <w:trHeight w:val="787"/>
        </w:trPr>
        <w:tc>
          <w:tcPr>
            <w:tcW w:w="846" w:type="dxa"/>
            <w:shd w:val="clear" w:color="auto" w:fill="auto"/>
          </w:tcPr>
          <w:p w14:paraId="211201BC" w14:textId="77777777" w:rsidR="00FE46FF" w:rsidRDefault="00FE46FF" w:rsidP="0002235C">
            <w:pPr>
              <w:rPr>
                <w:b/>
                <w:bCs/>
                <w:sz w:val="18"/>
                <w:szCs w:val="18"/>
              </w:rPr>
            </w:pPr>
            <w:r w:rsidRPr="000D7A82">
              <w:rPr>
                <w:b/>
                <w:bCs/>
                <w:noProof/>
                <w:sz w:val="18"/>
                <w:szCs w:val="18"/>
              </w:rPr>
              <w:drawing>
                <wp:inline distT="0" distB="0" distL="0" distR="0" wp14:anchorId="1D002289" wp14:editId="2939B5EA">
                  <wp:extent cx="387985" cy="387985"/>
                  <wp:effectExtent l="0" t="0" r="0" b="0"/>
                  <wp:docPr id="12" name="Graphic 12" descr="Cit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ity outlin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7985" cy="387985"/>
                          </a:xfrm>
                          <a:prstGeom prst="rect">
                            <a:avLst/>
                          </a:prstGeom>
                        </pic:spPr>
                      </pic:pic>
                    </a:graphicData>
                  </a:graphic>
                </wp:inline>
              </w:drawing>
            </w:r>
          </w:p>
          <w:p w14:paraId="2318E3E4" w14:textId="23F5B0D2" w:rsidR="00F16184" w:rsidRPr="000D7A82" w:rsidRDefault="00F16184" w:rsidP="0002235C">
            <w:pPr>
              <w:rPr>
                <w:b/>
                <w:bCs/>
                <w:sz w:val="18"/>
                <w:szCs w:val="18"/>
              </w:rPr>
            </w:pPr>
          </w:p>
        </w:tc>
        <w:tc>
          <w:tcPr>
            <w:tcW w:w="4857" w:type="dxa"/>
            <w:shd w:val="clear" w:color="auto" w:fill="auto"/>
          </w:tcPr>
          <w:p w14:paraId="0CEB760D" w14:textId="77777777" w:rsidR="00FE46FF" w:rsidRPr="000D7A82" w:rsidRDefault="00FE46FF" w:rsidP="00F16184">
            <w:pPr>
              <w:rPr>
                <w:b/>
                <w:bCs/>
                <w:sz w:val="18"/>
                <w:szCs w:val="18"/>
              </w:rPr>
            </w:pPr>
            <w:r w:rsidRPr="000D7A82">
              <w:rPr>
                <w:b/>
                <w:bCs/>
                <w:sz w:val="18"/>
                <w:szCs w:val="18"/>
              </w:rPr>
              <w:t>Location</w:t>
            </w:r>
          </w:p>
          <w:p w14:paraId="401C8A7E" w14:textId="68D6A5D8" w:rsidR="00FE46FF" w:rsidRPr="000D7A82" w:rsidRDefault="006D5BD7" w:rsidP="00F16184">
            <w:pPr>
              <w:rPr>
                <w:sz w:val="18"/>
                <w:szCs w:val="18"/>
              </w:rPr>
            </w:pPr>
            <w:r>
              <w:rPr>
                <w:sz w:val="18"/>
                <w:szCs w:val="18"/>
              </w:rPr>
              <w:t>Flexible</w:t>
            </w:r>
          </w:p>
        </w:tc>
        <w:tc>
          <w:tcPr>
            <w:tcW w:w="4743" w:type="dxa"/>
            <w:vMerge/>
            <w:shd w:val="clear" w:color="auto" w:fill="CBD3ED"/>
          </w:tcPr>
          <w:p w14:paraId="15039521" w14:textId="77777777" w:rsidR="00FE46FF" w:rsidRPr="000D7A82" w:rsidRDefault="00FE46FF" w:rsidP="0002235C">
            <w:pPr>
              <w:rPr>
                <w:b/>
                <w:bCs/>
                <w:sz w:val="18"/>
                <w:szCs w:val="18"/>
              </w:rPr>
            </w:pPr>
          </w:p>
        </w:tc>
      </w:tr>
      <w:tr w:rsidR="00FE46FF" w:rsidRPr="00201676" w14:paraId="1EA197AD" w14:textId="457CD779" w:rsidTr="00745CA1">
        <w:trPr>
          <w:trHeight w:val="787"/>
        </w:trPr>
        <w:tc>
          <w:tcPr>
            <w:tcW w:w="846" w:type="dxa"/>
            <w:shd w:val="clear" w:color="auto" w:fill="auto"/>
          </w:tcPr>
          <w:p w14:paraId="0B8FE302" w14:textId="77777777" w:rsidR="00FE46FF" w:rsidRDefault="00FE46FF" w:rsidP="0002235C">
            <w:pPr>
              <w:rPr>
                <w:b/>
                <w:bCs/>
                <w:noProof/>
                <w:sz w:val="18"/>
                <w:szCs w:val="18"/>
              </w:rPr>
            </w:pPr>
            <w:bookmarkStart w:id="1" w:name="_Hlk162452039"/>
            <w:r w:rsidRPr="000D7A82">
              <w:rPr>
                <w:b/>
                <w:bCs/>
                <w:noProof/>
                <w:sz w:val="18"/>
                <w:szCs w:val="18"/>
              </w:rPr>
              <w:drawing>
                <wp:inline distT="0" distB="0" distL="0" distR="0" wp14:anchorId="4844575B" wp14:editId="00D82158">
                  <wp:extent cx="396815" cy="396815"/>
                  <wp:effectExtent l="0" t="0" r="3810" b="0"/>
                  <wp:docPr id="2" name="Graphic 2" descr="Employee bad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Employee badge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0270" cy="400270"/>
                          </a:xfrm>
                          <a:prstGeom prst="rect">
                            <a:avLst/>
                          </a:prstGeom>
                        </pic:spPr>
                      </pic:pic>
                    </a:graphicData>
                  </a:graphic>
                </wp:inline>
              </w:drawing>
            </w:r>
          </w:p>
          <w:p w14:paraId="54282CD0" w14:textId="77777777" w:rsidR="00F16184" w:rsidRDefault="00F16184" w:rsidP="0002235C">
            <w:pPr>
              <w:rPr>
                <w:b/>
                <w:bCs/>
                <w:noProof/>
                <w:sz w:val="18"/>
                <w:szCs w:val="18"/>
              </w:rPr>
            </w:pPr>
          </w:p>
          <w:p w14:paraId="28EE51BF" w14:textId="11FA3EB5" w:rsidR="00F16184" w:rsidRPr="000D7A82" w:rsidRDefault="00F16184" w:rsidP="0002235C">
            <w:pPr>
              <w:rPr>
                <w:b/>
                <w:bCs/>
                <w:noProof/>
                <w:sz w:val="18"/>
                <w:szCs w:val="18"/>
              </w:rPr>
            </w:pPr>
          </w:p>
        </w:tc>
        <w:tc>
          <w:tcPr>
            <w:tcW w:w="4857" w:type="dxa"/>
            <w:shd w:val="clear" w:color="auto" w:fill="auto"/>
          </w:tcPr>
          <w:p w14:paraId="7E83D3EE" w14:textId="77777777" w:rsidR="00FE46FF" w:rsidRPr="000D7A82" w:rsidRDefault="00FE46FF" w:rsidP="00F16184">
            <w:pPr>
              <w:rPr>
                <w:b/>
                <w:bCs/>
                <w:sz w:val="18"/>
                <w:szCs w:val="18"/>
              </w:rPr>
            </w:pPr>
            <w:r w:rsidRPr="000D7A82">
              <w:rPr>
                <w:b/>
                <w:bCs/>
                <w:sz w:val="18"/>
                <w:szCs w:val="18"/>
              </w:rPr>
              <w:t>Contact</w:t>
            </w:r>
          </w:p>
          <w:p w14:paraId="45B5D5BA" w14:textId="695305AE" w:rsidR="00C7427D" w:rsidRPr="008F15E2" w:rsidRDefault="008F15E2" w:rsidP="00C7427D">
            <w:pPr>
              <w:rPr>
                <w:sz w:val="18"/>
                <w:szCs w:val="18"/>
              </w:rPr>
            </w:pPr>
            <w:r w:rsidRPr="008F15E2">
              <w:rPr>
                <w:sz w:val="18"/>
                <w:szCs w:val="18"/>
              </w:rPr>
              <w:t>Rob</w:t>
            </w:r>
            <w:r>
              <w:rPr>
                <w:sz w:val="18"/>
                <w:szCs w:val="18"/>
              </w:rPr>
              <w:t>ert</w:t>
            </w:r>
            <w:r w:rsidRPr="008F15E2">
              <w:rPr>
                <w:sz w:val="18"/>
                <w:szCs w:val="18"/>
              </w:rPr>
              <w:t xml:space="preserve"> Wicks, A/Executive Director</w:t>
            </w:r>
          </w:p>
          <w:p w14:paraId="6BD52918" w14:textId="2B08923D" w:rsidR="00C7427D" w:rsidRPr="008F15E2" w:rsidRDefault="008F15E2" w:rsidP="00C7427D">
            <w:pPr>
              <w:rPr>
                <w:sz w:val="18"/>
                <w:szCs w:val="18"/>
              </w:rPr>
            </w:pPr>
            <w:r w:rsidRPr="008F15E2">
              <w:rPr>
                <w:sz w:val="18"/>
                <w:szCs w:val="18"/>
              </w:rPr>
              <w:t>robert.wicks@oir.qld.gov.au</w:t>
            </w:r>
          </w:p>
          <w:p w14:paraId="59C2DF2E" w14:textId="714E5B83" w:rsidR="00FE46FF" w:rsidRPr="000D7A82" w:rsidRDefault="008F15E2" w:rsidP="00C7427D">
            <w:pPr>
              <w:rPr>
                <w:b/>
                <w:bCs/>
                <w:sz w:val="18"/>
                <w:szCs w:val="18"/>
              </w:rPr>
            </w:pPr>
            <w:r w:rsidRPr="008F15E2">
              <w:rPr>
                <w:sz w:val="18"/>
                <w:szCs w:val="18"/>
              </w:rPr>
              <w:t>0413 250 800</w:t>
            </w:r>
          </w:p>
        </w:tc>
        <w:tc>
          <w:tcPr>
            <w:tcW w:w="4743" w:type="dxa"/>
            <w:vMerge/>
            <w:shd w:val="clear" w:color="auto" w:fill="CBD3ED"/>
          </w:tcPr>
          <w:p w14:paraId="6163178B" w14:textId="77777777" w:rsidR="00FE46FF" w:rsidRPr="000D7A82" w:rsidRDefault="00FE46FF" w:rsidP="0002235C">
            <w:pPr>
              <w:rPr>
                <w:b/>
                <w:bCs/>
                <w:sz w:val="18"/>
                <w:szCs w:val="18"/>
              </w:rPr>
            </w:pPr>
          </w:p>
        </w:tc>
      </w:tr>
      <w:bookmarkEnd w:id="1"/>
      <w:tr w:rsidR="00FE46FF" w:rsidRPr="00201676" w14:paraId="01B8093F" w14:textId="318B207D" w:rsidTr="00745CA1">
        <w:trPr>
          <w:trHeight w:val="787"/>
        </w:trPr>
        <w:tc>
          <w:tcPr>
            <w:tcW w:w="846" w:type="dxa"/>
            <w:shd w:val="clear" w:color="auto" w:fill="auto"/>
          </w:tcPr>
          <w:p w14:paraId="0B4C15D0" w14:textId="77777777" w:rsidR="00FE46FF" w:rsidRDefault="00FE46FF" w:rsidP="0002235C">
            <w:pPr>
              <w:rPr>
                <w:b/>
                <w:bCs/>
                <w:noProof/>
                <w:sz w:val="18"/>
                <w:szCs w:val="18"/>
              </w:rPr>
            </w:pPr>
            <w:r w:rsidRPr="000D7A82">
              <w:rPr>
                <w:b/>
                <w:bCs/>
                <w:noProof/>
                <w:sz w:val="18"/>
                <w:szCs w:val="18"/>
              </w:rPr>
              <w:drawing>
                <wp:inline distT="0" distB="0" distL="0" distR="0" wp14:anchorId="0704E7EC" wp14:editId="62420832">
                  <wp:extent cx="396240" cy="396240"/>
                  <wp:effectExtent l="0" t="0" r="0" b="3810"/>
                  <wp:docPr id="3" name="Graphic 3" descr="Pap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Paper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00615" cy="400615"/>
                          </a:xfrm>
                          <a:prstGeom prst="rect">
                            <a:avLst/>
                          </a:prstGeom>
                        </pic:spPr>
                      </pic:pic>
                    </a:graphicData>
                  </a:graphic>
                </wp:inline>
              </w:drawing>
            </w:r>
          </w:p>
          <w:p w14:paraId="3A88236B" w14:textId="4732E841" w:rsidR="00F16184" w:rsidRPr="000D7A82" w:rsidRDefault="00F16184" w:rsidP="0002235C">
            <w:pPr>
              <w:rPr>
                <w:b/>
                <w:bCs/>
                <w:noProof/>
                <w:sz w:val="18"/>
                <w:szCs w:val="18"/>
              </w:rPr>
            </w:pPr>
          </w:p>
        </w:tc>
        <w:tc>
          <w:tcPr>
            <w:tcW w:w="4857" w:type="dxa"/>
            <w:shd w:val="clear" w:color="auto" w:fill="auto"/>
          </w:tcPr>
          <w:p w14:paraId="1A416099" w14:textId="77777777" w:rsidR="00FE46FF" w:rsidRPr="00F40135" w:rsidRDefault="00FE46FF" w:rsidP="00F16184">
            <w:pPr>
              <w:rPr>
                <w:b/>
                <w:bCs/>
                <w:sz w:val="18"/>
                <w:szCs w:val="18"/>
              </w:rPr>
            </w:pPr>
            <w:r w:rsidRPr="00F40135">
              <w:rPr>
                <w:b/>
                <w:bCs/>
                <w:sz w:val="18"/>
                <w:szCs w:val="18"/>
              </w:rPr>
              <w:t>Job ad reference</w:t>
            </w:r>
          </w:p>
          <w:p w14:paraId="13C380FD" w14:textId="2256908B" w:rsidR="00FE46FF" w:rsidRPr="000D7A82" w:rsidRDefault="007A701E" w:rsidP="00F16184">
            <w:pPr>
              <w:rPr>
                <w:b/>
                <w:bCs/>
                <w:sz w:val="18"/>
                <w:szCs w:val="18"/>
              </w:rPr>
            </w:pPr>
            <w:r>
              <w:rPr>
                <w:b/>
                <w:bCs/>
                <w:sz w:val="18"/>
                <w:szCs w:val="18"/>
              </w:rPr>
              <w:t>QLD/578215/24</w:t>
            </w:r>
          </w:p>
        </w:tc>
        <w:tc>
          <w:tcPr>
            <w:tcW w:w="4743" w:type="dxa"/>
            <w:vMerge/>
            <w:shd w:val="clear" w:color="auto" w:fill="CBD3ED"/>
          </w:tcPr>
          <w:p w14:paraId="416A31F4" w14:textId="77777777" w:rsidR="00FE46FF" w:rsidRPr="00F40135" w:rsidRDefault="00FE46FF" w:rsidP="0002235C">
            <w:pPr>
              <w:rPr>
                <w:b/>
                <w:bCs/>
                <w:sz w:val="18"/>
                <w:szCs w:val="18"/>
              </w:rPr>
            </w:pPr>
          </w:p>
        </w:tc>
      </w:tr>
      <w:tr w:rsidR="00FE46FF" w:rsidRPr="00201676" w14:paraId="0C13A252" w14:textId="220B2F9D" w:rsidTr="00745CA1">
        <w:trPr>
          <w:trHeight w:val="787"/>
        </w:trPr>
        <w:tc>
          <w:tcPr>
            <w:tcW w:w="846" w:type="dxa"/>
            <w:shd w:val="clear" w:color="auto" w:fill="auto"/>
          </w:tcPr>
          <w:p w14:paraId="320DF48A" w14:textId="77777777" w:rsidR="00FE46FF" w:rsidRDefault="00FE46FF" w:rsidP="0002235C">
            <w:pPr>
              <w:rPr>
                <w:b/>
                <w:bCs/>
                <w:noProof/>
                <w:sz w:val="18"/>
                <w:szCs w:val="18"/>
              </w:rPr>
            </w:pPr>
            <w:r w:rsidRPr="000D7A82">
              <w:rPr>
                <w:b/>
                <w:bCs/>
                <w:noProof/>
                <w:sz w:val="18"/>
                <w:szCs w:val="18"/>
              </w:rPr>
              <w:drawing>
                <wp:inline distT="0" distB="0" distL="0" distR="0" wp14:anchorId="3AF38BD3" wp14:editId="2C47EC07">
                  <wp:extent cx="396815" cy="396815"/>
                  <wp:effectExtent l="0" t="0" r="0" b="0"/>
                  <wp:docPr id="4" name="Graphic 4" descr="Monthly calend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Monthly calendar outline"/>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03195" cy="403195"/>
                          </a:xfrm>
                          <a:prstGeom prst="rect">
                            <a:avLst/>
                          </a:prstGeom>
                        </pic:spPr>
                      </pic:pic>
                    </a:graphicData>
                  </a:graphic>
                </wp:inline>
              </w:drawing>
            </w:r>
          </w:p>
          <w:p w14:paraId="03CCB566" w14:textId="46B57919" w:rsidR="00F16184" w:rsidRPr="000D7A82" w:rsidRDefault="00F16184" w:rsidP="0002235C">
            <w:pPr>
              <w:rPr>
                <w:b/>
                <w:bCs/>
                <w:noProof/>
                <w:sz w:val="18"/>
                <w:szCs w:val="18"/>
              </w:rPr>
            </w:pPr>
          </w:p>
        </w:tc>
        <w:tc>
          <w:tcPr>
            <w:tcW w:w="4857" w:type="dxa"/>
            <w:shd w:val="clear" w:color="auto" w:fill="auto"/>
          </w:tcPr>
          <w:p w14:paraId="5E36A23B" w14:textId="77777777" w:rsidR="00FE46FF" w:rsidRPr="00F40135" w:rsidRDefault="00FE46FF" w:rsidP="00F16184">
            <w:pPr>
              <w:rPr>
                <w:b/>
                <w:bCs/>
                <w:sz w:val="18"/>
                <w:szCs w:val="18"/>
              </w:rPr>
            </w:pPr>
            <w:r w:rsidRPr="00F40135">
              <w:rPr>
                <w:b/>
                <w:bCs/>
                <w:sz w:val="18"/>
                <w:szCs w:val="18"/>
              </w:rPr>
              <w:t>Closing date</w:t>
            </w:r>
          </w:p>
          <w:p w14:paraId="5F57C492" w14:textId="3BFAB867" w:rsidR="00FE46FF" w:rsidRPr="000D7A82" w:rsidRDefault="007A701E" w:rsidP="00F16184">
            <w:pPr>
              <w:rPr>
                <w:b/>
                <w:bCs/>
                <w:sz w:val="18"/>
                <w:szCs w:val="18"/>
              </w:rPr>
            </w:pPr>
            <w:r>
              <w:rPr>
                <w:sz w:val="18"/>
                <w:szCs w:val="18"/>
              </w:rPr>
              <w:t>Monday, 29</w:t>
            </w:r>
            <w:r w:rsidRPr="007A701E">
              <w:rPr>
                <w:sz w:val="18"/>
                <w:szCs w:val="18"/>
                <w:vertAlign w:val="superscript"/>
              </w:rPr>
              <w:t>th</w:t>
            </w:r>
            <w:r>
              <w:rPr>
                <w:sz w:val="18"/>
                <w:szCs w:val="18"/>
              </w:rPr>
              <w:t xml:space="preserve"> July 2024</w:t>
            </w:r>
            <w:r w:rsidR="00FE46FF" w:rsidRPr="00F40135">
              <w:rPr>
                <w:sz w:val="18"/>
                <w:szCs w:val="18"/>
              </w:rPr>
              <w:t xml:space="preserve"> </w:t>
            </w:r>
          </w:p>
        </w:tc>
        <w:tc>
          <w:tcPr>
            <w:tcW w:w="4743" w:type="dxa"/>
            <w:vMerge/>
            <w:shd w:val="clear" w:color="auto" w:fill="CBD3ED"/>
          </w:tcPr>
          <w:p w14:paraId="222E68F0" w14:textId="77777777" w:rsidR="00FE46FF" w:rsidRPr="00F40135" w:rsidRDefault="00FE46FF" w:rsidP="0002235C">
            <w:pPr>
              <w:rPr>
                <w:b/>
                <w:bCs/>
                <w:sz w:val="18"/>
                <w:szCs w:val="18"/>
              </w:rPr>
            </w:pPr>
          </w:p>
        </w:tc>
      </w:tr>
      <w:tr w:rsidR="00FE46FF" w:rsidRPr="00201676" w14:paraId="493897BD" w14:textId="697C7CED" w:rsidTr="00745CA1">
        <w:trPr>
          <w:trHeight w:val="659"/>
        </w:trPr>
        <w:tc>
          <w:tcPr>
            <w:tcW w:w="846" w:type="dxa"/>
            <w:shd w:val="clear" w:color="auto" w:fill="auto"/>
          </w:tcPr>
          <w:p w14:paraId="14A2C23B" w14:textId="77777777" w:rsidR="00FE46FF" w:rsidRDefault="00FE46FF" w:rsidP="0002235C">
            <w:pPr>
              <w:rPr>
                <w:b/>
                <w:bCs/>
                <w:noProof/>
                <w:sz w:val="18"/>
                <w:szCs w:val="18"/>
              </w:rPr>
            </w:pPr>
            <w:r w:rsidRPr="000D7A82">
              <w:rPr>
                <w:b/>
                <w:bCs/>
                <w:noProof/>
                <w:sz w:val="18"/>
                <w:szCs w:val="18"/>
              </w:rPr>
              <w:drawing>
                <wp:inline distT="0" distB="0" distL="0" distR="0" wp14:anchorId="015EFD3A" wp14:editId="34253B7D">
                  <wp:extent cx="387985" cy="387985"/>
                  <wp:effectExtent l="0" t="0" r="0" b="0"/>
                  <wp:docPr id="5" name="Graphic 5" descr="Us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User outline"/>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93236" cy="393236"/>
                          </a:xfrm>
                          <a:prstGeom prst="rect">
                            <a:avLst/>
                          </a:prstGeom>
                        </pic:spPr>
                      </pic:pic>
                    </a:graphicData>
                  </a:graphic>
                </wp:inline>
              </w:drawing>
            </w:r>
          </w:p>
          <w:p w14:paraId="6579D1B1" w14:textId="12A93B92" w:rsidR="00F16184" w:rsidRPr="000D7A82" w:rsidRDefault="00F16184" w:rsidP="0002235C">
            <w:pPr>
              <w:rPr>
                <w:b/>
                <w:bCs/>
                <w:noProof/>
                <w:sz w:val="18"/>
                <w:szCs w:val="18"/>
              </w:rPr>
            </w:pPr>
          </w:p>
        </w:tc>
        <w:tc>
          <w:tcPr>
            <w:tcW w:w="4857" w:type="dxa"/>
            <w:shd w:val="clear" w:color="auto" w:fill="auto"/>
          </w:tcPr>
          <w:p w14:paraId="0D6E6E90" w14:textId="0C7EB853" w:rsidR="002C488D" w:rsidRPr="00F40135" w:rsidRDefault="00FE46FF" w:rsidP="00F16184">
            <w:pPr>
              <w:rPr>
                <w:b/>
                <w:bCs/>
                <w:sz w:val="18"/>
                <w:szCs w:val="18"/>
              </w:rPr>
            </w:pPr>
            <w:r w:rsidRPr="000D7A82">
              <w:rPr>
                <w:sz w:val="18"/>
                <w:szCs w:val="18"/>
              </w:rPr>
              <w:t>This role is open to all applicants</w:t>
            </w:r>
            <w:r w:rsidR="00F8349F">
              <w:rPr>
                <w:sz w:val="18"/>
                <w:szCs w:val="18"/>
              </w:rPr>
              <w:t xml:space="preserve"> and we </w:t>
            </w:r>
            <w:r w:rsidRPr="000D7A82">
              <w:rPr>
                <w:sz w:val="18"/>
                <w:szCs w:val="18"/>
              </w:rPr>
              <w:t>encourage applications from people with</w:t>
            </w:r>
            <w:r w:rsidR="00F8349F">
              <w:rPr>
                <w:sz w:val="18"/>
                <w:szCs w:val="18"/>
              </w:rPr>
              <w:t xml:space="preserve"> </w:t>
            </w:r>
            <w:r w:rsidRPr="000D7A82">
              <w:rPr>
                <w:sz w:val="18"/>
                <w:szCs w:val="18"/>
              </w:rPr>
              <w:t>diverse backgrounds</w:t>
            </w:r>
            <w:r w:rsidR="00F8349F">
              <w:rPr>
                <w:sz w:val="18"/>
                <w:szCs w:val="18"/>
              </w:rPr>
              <w:t>.</w:t>
            </w:r>
          </w:p>
        </w:tc>
        <w:tc>
          <w:tcPr>
            <w:tcW w:w="4743" w:type="dxa"/>
            <w:vMerge/>
            <w:shd w:val="clear" w:color="auto" w:fill="CBD3ED"/>
          </w:tcPr>
          <w:p w14:paraId="67D183B6" w14:textId="77777777" w:rsidR="00FE46FF" w:rsidRPr="000D7A82" w:rsidRDefault="00FE46FF" w:rsidP="0002235C">
            <w:pPr>
              <w:rPr>
                <w:sz w:val="18"/>
                <w:szCs w:val="18"/>
              </w:rPr>
            </w:pPr>
          </w:p>
        </w:tc>
      </w:tr>
    </w:tbl>
    <w:p w14:paraId="5E194183" w14:textId="77777777" w:rsidR="005429BD" w:rsidRPr="0024413D" w:rsidRDefault="005429BD" w:rsidP="00BA473F">
      <w:pPr>
        <w:spacing w:before="120"/>
        <w:rPr>
          <w:sz w:val="28"/>
          <w:szCs w:val="28"/>
        </w:rPr>
      </w:pPr>
      <w:r w:rsidRPr="0024413D">
        <w:rPr>
          <w:sz w:val="28"/>
          <w:szCs w:val="28"/>
        </w:rPr>
        <w:t>What you can expect in this role</w:t>
      </w:r>
    </w:p>
    <w:p w14:paraId="0D2A7A7A" w14:textId="77AEE3E2" w:rsidR="00C7427D" w:rsidRDefault="00C7427D" w:rsidP="00872BFE">
      <w:pPr>
        <w:spacing w:after="0" w:line="240" w:lineRule="auto"/>
        <w:rPr>
          <w:rFonts w:cs="Arial"/>
          <w:szCs w:val="21"/>
          <w:lang w:val="en-US"/>
        </w:rPr>
      </w:pPr>
      <w:r w:rsidRPr="00872BFE">
        <w:rPr>
          <w:rFonts w:cs="Arial"/>
          <w:szCs w:val="21"/>
        </w:rPr>
        <w:t xml:space="preserve">As the </w:t>
      </w:r>
      <w:r w:rsidR="008F15E2" w:rsidRPr="00872BFE">
        <w:rPr>
          <w:rFonts w:cs="Arial"/>
          <w:szCs w:val="21"/>
        </w:rPr>
        <w:t>Manager</w:t>
      </w:r>
      <w:r w:rsidR="00872BFE">
        <w:rPr>
          <w:rFonts w:cs="Arial"/>
          <w:szCs w:val="21"/>
        </w:rPr>
        <w:t xml:space="preserve"> </w:t>
      </w:r>
      <w:r w:rsidRPr="00872BFE">
        <w:rPr>
          <w:rFonts w:cs="Arial"/>
          <w:szCs w:val="21"/>
        </w:rPr>
        <w:t xml:space="preserve">you will work autonomously and lead the </w:t>
      </w:r>
      <w:r w:rsidR="00872BFE">
        <w:rPr>
          <w:rFonts w:cs="Arial"/>
          <w:szCs w:val="21"/>
        </w:rPr>
        <w:t>Governance and Compliance Unit</w:t>
      </w:r>
      <w:r w:rsidR="00872BFE" w:rsidRPr="00872BFE">
        <w:rPr>
          <w:rFonts w:cs="Arial"/>
          <w:szCs w:val="21"/>
        </w:rPr>
        <w:t xml:space="preserve"> </w:t>
      </w:r>
      <w:r w:rsidR="00872BFE">
        <w:rPr>
          <w:rFonts w:cs="Arial"/>
          <w:szCs w:val="21"/>
        </w:rPr>
        <w:t xml:space="preserve">in the Electrical Safety Office </w:t>
      </w:r>
      <w:r w:rsidR="00316DFE" w:rsidRPr="00316DFE">
        <w:rPr>
          <w:rFonts w:cs="Arial"/>
          <w:szCs w:val="21"/>
          <w:lang w:val="en-US"/>
        </w:rPr>
        <w:t>to make Queensland industry, home and communities safe from the risk of electrical harm through a range of compliance, enforcement, advisory and support services</w:t>
      </w:r>
      <w:r w:rsidR="00316DFE">
        <w:rPr>
          <w:rFonts w:cs="Arial"/>
          <w:szCs w:val="21"/>
          <w:lang w:val="en-US"/>
        </w:rPr>
        <w:t>.</w:t>
      </w:r>
    </w:p>
    <w:p w14:paraId="0B695B9A" w14:textId="77777777" w:rsidR="00316DFE" w:rsidRPr="00872BFE" w:rsidRDefault="00316DFE" w:rsidP="00872BFE">
      <w:pPr>
        <w:spacing w:after="0" w:line="240" w:lineRule="auto"/>
        <w:rPr>
          <w:rFonts w:cs="Arial"/>
          <w:szCs w:val="21"/>
        </w:rPr>
      </w:pPr>
    </w:p>
    <w:p w14:paraId="31A945B4" w14:textId="77777777" w:rsidR="00C7427D" w:rsidRPr="005E0773" w:rsidRDefault="00C7427D" w:rsidP="00C7427D">
      <w:r>
        <w:t xml:space="preserve">Key </w:t>
      </w:r>
      <w:r w:rsidRPr="005E0773">
        <w:t>responsibilities include</w:t>
      </w:r>
      <w:r>
        <w:t>:</w:t>
      </w:r>
    </w:p>
    <w:p w14:paraId="776198F5" w14:textId="235CD1B3" w:rsidR="00D054FC" w:rsidRPr="00104AE5" w:rsidRDefault="00D054FC" w:rsidP="00D054FC">
      <w:pPr>
        <w:pStyle w:val="Bulletpoints"/>
      </w:pPr>
      <w:bookmarkStart w:id="2" w:name="_Hlk162711411"/>
      <w:r w:rsidRPr="00104AE5">
        <w:t xml:space="preserve">Manage a small team to ensure directed compliance activities and programs within the scope of </w:t>
      </w:r>
      <w:r>
        <w:t>Electrical Safety Office (</w:t>
      </w:r>
      <w:r w:rsidRPr="00104AE5">
        <w:t>ESO</w:t>
      </w:r>
      <w:r>
        <w:t>)</w:t>
      </w:r>
      <w:r w:rsidRPr="00104AE5">
        <w:t xml:space="preserve"> portfolio are effective, deliverable, coordinated and have a sound legislative basis.</w:t>
      </w:r>
    </w:p>
    <w:p w14:paraId="5A335827" w14:textId="77777777" w:rsidR="00D054FC" w:rsidRPr="00104AE5" w:rsidRDefault="00D054FC" w:rsidP="00D054FC">
      <w:pPr>
        <w:pStyle w:val="Bulletpoints"/>
      </w:pPr>
      <w:r w:rsidRPr="00104AE5">
        <w:t>Oversee the development, implementation and auditing of the ESO’s policy framework for administration and financial support services, systems and procedures, and provide high-level advice and interpretation to the ESO leadership team.</w:t>
      </w:r>
    </w:p>
    <w:p w14:paraId="40C140AD" w14:textId="77777777" w:rsidR="00D054FC" w:rsidRPr="00104AE5" w:rsidRDefault="00D054FC" w:rsidP="00D054FC">
      <w:pPr>
        <w:pStyle w:val="Bulletpoints"/>
      </w:pPr>
      <w:r w:rsidRPr="00104AE5">
        <w:t>Undertake internal audit activities to ensure portfolio areas within the ESO are adhering to internal operational procedures and legislative requirements.</w:t>
      </w:r>
    </w:p>
    <w:p w14:paraId="6581E2FD" w14:textId="13820CEB" w:rsidR="00D054FC" w:rsidRPr="00900D91" w:rsidRDefault="00D054FC" w:rsidP="00900D91">
      <w:pPr>
        <w:pStyle w:val="Bulletpoints"/>
        <w:rPr>
          <w:rFonts w:asciiTheme="majorHAnsi" w:hAnsiTheme="majorHAnsi" w:cstheme="majorHAnsi"/>
          <w:sz w:val="22"/>
        </w:rPr>
      </w:pPr>
      <w:r w:rsidRPr="00104AE5">
        <w:t>Provide high level advice to the Executive Director, ESO and other key ESO stakeholders pertaining to contemporary, contentious and emerging issues within the scope of the role.</w:t>
      </w:r>
    </w:p>
    <w:p w14:paraId="0C303354" w14:textId="77777777" w:rsidR="00D054FC" w:rsidRPr="00104AE5" w:rsidRDefault="00D054FC" w:rsidP="00D054FC">
      <w:pPr>
        <w:pStyle w:val="Bulletpoints"/>
      </w:pPr>
      <w:r w:rsidRPr="00104AE5">
        <w:t>Prepare complex technical reports, correspondence, submissions and briefs in response to ministerial requests and operational matters as directed by the Executive Director, ESO.</w:t>
      </w:r>
    </w:p>
    <w:p w14:paraId="3D2B2480" w14:textId="77777777" w:rsidR="00D054FC" w:rsidRDefault="00D054FC" w:rsidP="00D054FC">
      <w:pPr>
        <w:pStyle w:val="Bulletpoints"/>
      </w:pPr>
      <w:r w:rsidRPr="00104AE5">
        <w:lastRenderedPageBreak/>
        <w:t>Represent ESO on internal and external committees and standards setting forums.</w:t>
      </w:r>
    </w:p>
    <w:p w14:paraId="492CF3FF" w14:textId="4D9D692B" w:rsidR="00C7427D" w:rsidRDefault="00D054FC" w:rsidP="00D054FC">
      <w:pPr>
        <w:pStyle w:val="Bulletpoints"/>
      </w:pPr>
      <w:r w:rsidRPr="00104AE5">
        <w:t>Actively contribute to the effectiveness of the strategic plan and program of work in the ESO through the identification and development of innovative solutions to reduce electrically related injuries</w:t>
      </w:r>
      <w:r w:rsidR="00637837">
        <w:t xml:space="preserve"> </w:t>
      </w:r>
      <w:r w:rsidRPr="00104AE5">
        <w:t>and property damage within the scope of the ESO.</w:t>
      </w:r>
    </w:p>
    <w:p w14:paraId="4D3531B6" w14:textId="359D6226" w:rsidR="006902DB" w:rsidRDefault="006902DB" w:rsidP="00295532">
      <w:pPr>
        <w:spacing w:after="0" w:line="240" w:lineRule="auto"/>
        <w:rPr>
          <w:rFonts w:cs="Arial"/>
          <w:szCs w:val="21"/>
        </w:rPr>
      </w:pPr>
      <w:bookmarkStart w:id="3" w:name="_Hlk160435093"/>
      <w:bookmarkEnd w:id="2"/>
      <w:r w:rsidRPr="00295532">
        <w:rPr>
          <w:rFonts w:cs="Arial"/>
          <w:szCs w:val="21"/>
        </w:rPr>
        <w:t xml:space="preserve">Our workforce needs to be </w:t>
      </w:r>
      <w:r w:rsidR="00A44F03">
        <w:rPr>
          <w:rFonts w:cs="Arial"/>
          <w:szCs w:val="21"/>
        </w:rPr>
        <w:t>able</w:t>
      </w:r>
      <w:r w:rsidRPr="00295532">
        <w:rPr>
          <w:rFonts w:cs="Arial"/>
          <w:szCs w:val="21"/>
        </w:rPr>
        <w:t xml:space="preserve"> to respond quickly to new and emerging priorities. You may be required to undertake alternative duties or work in alternative locations on a temporary or permanent basis to support service delivery.</w:t>
      </w:r>
    </w:p>
    <w:p w14:paraId="1D8CF4FD" w14:textId="77777777" w:rsidR="000A2A1C" w:rsidRDefault="000A2A1C" w:rsidP="00295532">
      <w:pPr>
        <w:spacing w:after="0" w:line="240" w:lineRule="auto"/>
        <w:rPr>
          <w:rFonts w:cs="Arial"/>
          <w:szCs w:val="21"/>
        </w:rPr>
      </w:pPr>
    </w:p>
    <w:p w14:paraId="172A4861" w14:textId="1A548010" w:rsidR="00FF5EB0" w:rsidRDefault="00A44F03" w:rsidP="00FF5EB0">
      <w:pPr>
        <w:rPr>
          <w:rFonts w:cs="Arial"/>
          <w:szCs w:val="21"/>
        </w:rPr>
      </w:pPr>
      <w:r>
        <w:rPr>
          <w:rFonts w:cs="Arial"/>
          <w:szCs w:val="21"/>
        </w:rPr>
        <w:t xml:space="preserve">In this </w:t>
      </w:r>
      <w:r w:rsidR="00FF5EB0" w:rsidRPr="0014675A">
        <w:rPr>
          <w:rFonts w:cs="Arial"/>
          <w:szCs w:val="21"/>
        </w:rPr>
        <w:t xml:space="preserve">role </w:t>
      </w:r>
      <w:r>
        <w:rPr>
          <w:rFonts w:cs="Arial"/>
          <w:szCs w:val="21"/>
        </w:rPr>
        <w:t xml:space="preserve">you may be </w:t>
      </w:r>
      <w:r w:rsidR="00FF5EB0" w:rsidRPr="0014675A">
        <w:rPr>
          <w:rFonts w:cs="Arial"/>
          <w:szCs w:val="21"/>
        </w:rPr>
        <w:t>expose</w:t>
      </w:r>
      <w:r>
        <w:rPr>
          <w:rFonts w:cs="Arial"/>
          <w:szCs w:val="21"/>
        </w:rPr>
        <w:t>d</w:t>
      </w:r>
      <w:r w:rsidR="00FF5EB0" w:rsidRPr="0014675A">
        <w:rPr>
          <w:rFonts w:cs="Arial"/>
          <w:szCs w:val="21"/>
        </w:rPr>
        <w:t xml:space="preserve"> to confronting and distressing content and OIR will support </w:t>
      </w:r>
      <w:r w:rsidR="00FF5EB0">
        <w:rPr>
          <w:rFonts w:cs="Arial"/>
          <w:szCs w:val="21"/>
        </w:rPr>
        <w:t xml:space="preserve">you </w:t>
      </w:r>
      <w:r w:rsidR="00FF5EB0" w:rsidRPr="0014675A">
        <w:rPr>
          <w:rFonts w:cs="Arial"/>
          <w:szCs w:val="21"/>
        </w:rPr>
        <w:t xml:space="preserve">with relevant professional supervision and access to </w:t>
      </w:r>
      <w:r w:rsidR="00FF5EB0">
        <w:rPr>
          <w:rFonts w:cs="Arial"/>
          <w:szCs w:val="21"/>
        </w:rPr>
        <w:t xml:space="preserve">our employee assistance program </w:t>
      </w:r>
      <w:r w:rsidR="00FF5EB0" w:rsidRPr="0014675A">
        <w:rPr>
          <w:rFonts w:cs="Arial"/>
          <w:szCs w:val="21"/>
        </w:rPr>
        <w:t>services to monitor vicarious trauma. Applicants should consider this context and their personal resilience and coping strategies for longevity in the position.</w:t>
      </w:r>
    </w:p>
    <w:p w14:paraId="524E9B1A" w14:textId="128666E4" w:rsidR="00C7427D" w:rsidRPr="000A0123" w:rsidRDefault="00C7427D" w:rsidP="00C7427D">
      <w:pPr>
        <w:rPr>
          <w:rFonts w:ascii="Calibri" w:hAnsi="Calibri"/>
          <w:szCs w:val="21"/>
        </w:rPr>
      </w:pPr>
      <w:r w:rsidRPr="000A0123">
        <w:rPr>
          <w:szCs w:val="21"/>
        </w:rPr>
        <w:t xml:space="preserve">This role is responsible for managing workers and has legislative obligations outlined in the </w:t>
      </w:r>
      <w:r w:rsidRPr="000A0123">
        <w:rPr>
          <w:i/>
          <w:iCs/>
          <w:szCs w:val="21"/>
        </w:rPr>
        <w:t xml:space="preserve">Work Health and Safety Act 2011 (Qld) </w:t>
      </w:r>
      <w:r w:rsidRPr="000A0123">
        <w:rPr>
          <w:szCs w:val="21"/>
        </w:rPr>
        <w:t>to identify and manage physical and psychological risks to health and safety through the implementation of and verification of controls. More information on how to manage psychosocial risks</w:t>
      </w:r>
      <w:r w:rsidRPr="000A0123">
        <w:rPr>
          <w:i/>
          <w:iCs/>
          <w:szCs w:val="21"/>
        </w:rPr>
        <w:t xml:space="preserve"> </w:t>
      </w:r>
      <w:r w:rsidRPr="000A0123">
        <w:rPr>
          <w:szCs w:val="21"/>
        </w:rPr>
        <w:t>is detailed in the</w:t>
      </w:r>
      <w:r w:rsidRPr="000A0123">
        <w:rPr>
          <w:i/>
          <w:iCs/>
          <w:szCs w:val="21"/>
        </w:rPr>
        <w:t xml:space="preserve"> </w:t>
      </w:r>
      <w:hyperlink r:id="rId26" w:history="1">
        <w:r w:rsidRPr="000A0123">
          <w:rPr>
            <w:rStyle w:val="Hyperlink"/>
            <w:sz w:val="21"/>
            <w:szCs w:val="21"/>
          </w:rPr>
          <w:t>Managing the risk of psychosocial hazards at work Code of Practice (2022)</w:t>
        </w:r>
      </w:hyperlink>
      <w:r w:rsidRPr="000A0123">
        <w:rPr>
          <w:szCs w:val="21"/>
        </w:rPr>
        <w:t>.</w:t>
      </w:r>
      <w:r w:rsidRPr="000A0123">
        <w:rPr>
          <w:i/>
          <w:iCs/>
          <w:szCs w:val="21"/>
        </w:rPr>
        <w:t xml:space="preserve"> </w:t>
      </w:r>
      <w:r w:rsidRPr="000A0123">
        <w:rPr>
          <w:szCs w:val="21"/>
        </w:rPr>
        <w:t>This role is also required to ensure workers</w:t>
      </w:r>
      <w:r w:rsidRPr="000A0123">
        <w:rPr>
          <w:szCs w:val="21"/>
          <w:lang w:val="en-US"/>
        </w:rPr>
        <w:t xml:space="preserve"> are provided information, training and supervision to conduct work in a safe and compliant manner in accordance with OIR’s Health Safety Wellbeing Safety Management System. </w:t>
      </w:r>
    </w:p>
    <w:bookmarkEnd w:id="3"/>
    <w:p w14:paraId="7FD80484" w14:textId="77777777" w:rsidR="005429BD" w:rsidRPr="00027035" w:rsidRDefault="005429BD" w:rsidP="00BA473F">
      <w:pPr>
        <w:spacing w:before="120"/>
        <w:rPr>
          <w:sz w:val="28"/>
          <w:szCs w:val="28"/>
        </w:rPr>
      </w:pPr>
      <w:r w:rsidRPr="00027035">
        <w:rPr>
          <w:sz w:val="28"/>
          <w:szCs w:val="28"/>
        </w:rPr>
        <w:t xml:space="preserve">What we are looking for </w:t>
      </w:r>
    </w:p>
    <w:p w14:paraId="1D323317" w14:textId="7A149FBB" w:rsidR="00811F17" w:rsidRDefault="00255758" w:rsidP="0002235C">
      <w:r>
        <w:t xml:space="preserve">We will confirm </w:t>
      </w:r>
      <w:r w:rsidR="00EC0262">
        <w:t xml:space="preserve">your eligibility and suitability for this role by considering your </w:t>
      </w:r>
      <w:r w:rsidR="00A12BD3">
        <w:t>abilities, aptitude, skills, qualifications, knowledge, experience and personal qualities</w:t>
      </w:r>
      <w:r w:rsidR="00EC0262">
        <w:t xml:space="preserve">. We’ll also </w:t>
      </w:r>
      <w:r w:rsidR="00705E3A">
        <w:t xml:space="preserve">consider the way you have carried out previous employment, </w:t>
      </w:r>
      <w:r w:rsidR="008F767F">
        <w:t xml:space="preserve">your </w:t>
      </w:r>
      <w:r w:rsidR="00705E3A">
        <w:t xml:space="preserve">potential </w:t>
      </w:r>
      <w:r w:rsidR="008F767F">
        <w:t xml:space="preserve">for future </w:t>
      </w:r>
      <w:r w:rsidR="00705E3A">
        <w:t xml:space="preserve">contribution </w:t>
      </w:r>
      <w:r w:rsidR="00EC0262">
        <w:t xml:space="preserve">and how you </w:t>
      </w:r>
      <w:r w:rsidR="008F767F">
        <w:t xml:space="preserve">could enhance </w:t>
      </w:r>
      <w:r w:rsidR="00705E3A">
        <w:t>equity, diversity, respect and inclusion</w:t>
      </w:r>
      <w:r w:rsidR="00EC0262">
        <w:t xml:space="preserve"> </w:t>
      </w:r>
      <w:r w:rsidR="008F767F">
        <w:t>at the OIR.</w:t>
      </w:r>
    </w:p>
    <w:tbl>
      <w:tblPr>
        <w:tblStyle w:val="TableGrid"/>
        <w:tblW w:w="1049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701"/>
        <w:gridCol w:w="8789"/>
      </w:tblGrid>
      <w:tr w:rsidR="0093745A" w:rsidRPr="0093745A" w14:paraId="699A93A0" w14:textId="77777777" w:rsidTr="00FF1CBE">
        <w:trPr>
          <w:trHeight w:val="689"/>
        </w:trPr>
        <w:tc>
          <w:tcPr>
            <w:tcW w:w="1701" w:type="dxa"/>
            <w:shd w:val="clear" w:color="auto" w:fill="auto"/>
          </w:tcPr>
          <w:p w14:paraId="29DECC01" w14:textId="77777777" w:rsidR="0093745A" w:rsidRPr="0093745A" w:rsidRDefault="0093745A" w:rsidP="0002235C">
            <w:pPr>
              <w:spacing w:before="120" w:after="120"/>
            </w:pPr>
            <w:r w:rsidRPr="0093745A">
              <w:t>Mandatory qualifications or conditions</w:t>
            </w:r>
          </w:p>
        </w:tc>
        <w:tc>
          <w:tcPr>
            <w:tcW w:w="8789" w:type="dxa"/>
            <w:shd w:val="clear" w:color="auto" w:fill="auto"/>
          </w:tcPr>
          <w:p w14:paraId="63450340" w14:textId="4D07558E" w:rsidR="006A1AE3" w:rsidRPr="0093745A" w:rsidRDefault="000A2A1C" w:rsidP="00641E50">
            <w:pPr>
              <w:spacing w:before="120" w:after="120"/>
            </w:pPr>
            <w:r w:rsidRPr="004030CE">
              <w:t>Open Driver’s Licence</w:t>
            </w:r>
            <w:r w:rsidR="00A87ECD" w:rsidRPr="004030CE">
              <w:t>.</w:t>
            </w:r>
          </w:p>
        </w:tc>
      </w:tr>
      <w:tr w:rsidR="002C3B0A" w:rsidRPr="0093745A" w14:paraId="5B611B46" w14:textId="77777777" w:rsidTr="00FF1CBE">
        <w:trPr>
          <w:trHeight w:val="459"/>
        </w:trPr>
        <w:tc>
          <w:tcPr>
            <w:tcW w:w="1701" w:type="dxa"/>
            <w:shd w:val="clear" w:color="auto" w:fill="auto"/>
          </w:tcPr>
          <w:p w14:paraId="6A1E581C" w14:textId="35F6D59B" w:rsidR="002C3B0A" w:rsidRPr="0093745A" w:rsidRDefault="00B64231" w:rsidP="002C3B0A">
            <w:pPr>
              <w:spacing w:before="120" w:after="120"/>
            </w:pPr>
            <w:r>
              <w:t xml:space="preserve">Key </w:t>
            </w:r>
            <w:r w:rsidR="008953FD">
              <w:t>c</w:t>
            </w:r>
            <w:r w:rsidR="002C3B0A" w:rsidRPr="0093745A">
              <w:t>apabilities</w:t>
            </w:r>
          </w:p>
        </w:tc>
        <w:tc>
          <w:tcPr>
            <w:tcW w:w="8789" w:type="dxa"/>
            <w:shd w:val="clear" w:color="auto" w:fill="auto"/>
          </w:tcPr>
          <w:p w14:paraId="3766D2AB" w14:textId="47A3DC44" w:rsidR="006D164E" w:rsidRPr="00872BFE" w:rsidRDefault="006D164E" w:rsidP="006D164E">
            <w:pPr>
              <w:pStyle w:val="Keycapabilities"/>
              <w:numPr>
                <w:ilvl w:val="0"/>
                <w:numId w:val="0"/>
              </w:numPr>
            </w:pPr>
            <w:bookmarkStart w:id="4" w:name="_Hlk162690169"/>
            <w:r>
              <w:t xml:space="preserve">Key </w:t>
            </w:r>
            <w:r w:rsidRPr="0075594C">
              <w:t xml:space="preserve">capabilities </w:t>
            </w:r>
            <w:r>
              <w:t xml:space="preserve">for this role are aligned with the OIR Capability Framework and </w:t>
            </w:r>
            <w:r w:rsidRPr="0075594C">
              <w:t xml:space="preserve">the </w:t>
            </w:r>
            <w:hyperlink r:id="rId27" w:history="1">
              <w:r w:rsidRPr="0075594C">
                <w:rPr>
                  <w:rStyle w:val="Hyperlink"/>
                </w:rPr>
                <w:t>Leadership competencies for Queensland</w:t>
              </w:r>
            </w:hyperlink>
            <w:r w:rsidRPr="0075594C">
              <w:t xml:space="preserve"> under the leadership </w:t>
            </w:r>
            <w:r w:rsidRPr="00872BFE">
              <w:t xml:space="preserve">stream: </w:t>
            </w:r>
            <w:sdt>
              <w:sdtPr>
                <w:alias w:val="Leadership stream"/>
                <w:tag w:val="Leadership stream"/>
                <w:id w:val="-1034873734"/>
                <w:placeholder>
                  <w:docPart w:val="068A27CCEDE44601B2456563D569602F"/>
                </w:placeholder>
                <w:dropDownList>
                  <w:listItem w:value="Choose an item."/>
                  <w:listItem w:displayText="Individual contributor" w:value="Individual contributor"/>
                  <w:listItem w:displayText="Team Leader" w:value="Team Leader"/>
                  <w:listItem w:displayText="Program leader" w:value="Program leader"/>
                  <w:listItem w:displayText="Executive" w:value="Executive"/>
                </w:dropDownList>
              </w:sdtPr>
              <w:sdtEndPr/>
              <w:sdtContent>
                <w:r w:rsidRPr="00872BFE">
                  <w:t>Individual contributor</w:t>
                </w:r>
              </w:sdtContent>
            </w:sdt>
            <w:r w:rsidRPr="00872BFE">
              <w:t xml:space="preserve">. </w:t>
            </w:r>
          </w:p>
          <w:p w14:paraId="15F8717E" w14:textId="77777777" w:rsidR="006D164E" w:rsidRPr="00872BFE" w:rsidRDefault="006D164E" w:rsidP="006D164E">
            <w:pPr>
              <w:pStyle w:val="Keycapabilities"/>
              <w:numPr>
                <w:ilvl w:val="0"/>
                <w:numId w:val="0"/>
              </w:numPr>
            </w:pPr>
          </w:p>
          <w:p w14:paraId="1A45AFD7" w14:textId="6762C472" w:rsidR="006D164E" w:rsidRPr="00872BFE" w:rsidRDefault="006D164E" w:rsidP="006D164E">
            <w:pPr>
              <w:pStyle w:val="Keycapabilities"/>
              <w:numPr>
                <w:ilvl w:val="0"/>
                <w:numId w:val="0"/>
              </w:numPr>
            </w:pPr>
            <w:r w:rsidRPr="00872BFE">
              <w:t>Key capabilities for this role include:</w:t>
            </w:r>
          </w:p>
          <w:p w14:paraId="6BCF9BA7" w14:textId="1E95E037" w:rsidR="006D164E" w:rsidRPr="00872BFE" w:rsidRDefault="00DD62FC" w:rsidP="00DD62FC">
            <w:pPr>
              <w:pStyle w:val="Keycapabilities"/>
              <w:numPr>
                <w:ilvl w:val="0"/>
                <w:numId w:val="25"/>
              </w:numPr>
              <w:rPr>
                <w:rFonts w:cs="Arial"/>
                <w:szCs w:val="21"/>
              </w:rPr>
            </w:pPr>
            <w:r w:rsidRPr="00872BFE">
              <w:rPr>
                <w:rFonts w:cs="Arial"/>
                <w:szCs w:val="21"/>
              </w:rPr>
              <w:t>Demonstrated experience in managing staff, managing workloads and exercising sound decision making skills to ensure delivery of consistent high quality team outcomes.</w:t>
            </w:r>
          </w:p>
          <w:p w14:paraId="24AFB80A" w14:textId="0ADA6151" w:rsidR="00DD62FC" w:rsidRPr="000A2A1C" w:rsidRDefault="00DD62FC" w:rsidP="00DD62FC">
            <w:pPr>
              <w:pStyle w:val="ListParagraph"/>
              <w:numPr>
                <w:ilvl w:val="0"/>
                <w:numId w:val="25"/>
              </w:numPr>
              <w:spacing w:before="120"/>
              <w:rPr>
                <w:rFonts w:ascii="Arial" w:hAnsi="Arial" w:cs="Arial"/>
                <w:szCs w:val="21"/>
              </w:rPr>
            </w:pPr>
            <w:r w:rsidRPr="000A2A1C">
              <w:rPr>
                <w:rFonts w:ascii="Arial" w:hAnsi="Arial" w:cs="Arial"/>
                <w:szCs w:val="21"/>
              </w:rPr>
              <w:t>Demonstrated high level communication skills (oral and written) as evidenced by positively influencing individuals and larger groups to achieve corporate improvements, problem solving, resolving complex disputes constructively, representing ESO at high level meetings and forums, and preparing timely and accurate correspondence, briefs and reports.</w:t>
            </w:r>
          </w:p>
          <w:p w14:paraId="13FBEDC3" w14:textId="6D5E69F7" w:rsidR="00DD62FC" w:rsidRPr="000A2A1C" w:rsidRDefault="00DD62FC" w:rsidP="00DD62FC">
            <w:pPr>
              <w:pStyle w:val="ListParagraph"/>
              <w:numPr>
                <w:ilvl w:val="0"/>
                <w:numId w:val="25"/>
              </w:numPr>
              <w:spacing w:before="120"/>
              <w:jc w:val="both"/>
              <w:rPr>
                <w:rFonts w:ascii="Arial" w:eastAsia="MS Mincho" w:hAnsi="Arial" w:cs="Arial"/>
                <w:b/>
                <w:szCs w:val="21"/>
                <w14:ligatures w14:val="none"/>
              </w:rPr>
            </w:pPr>
            <w:r w:rsidRPr="000A2A1C">
              <w:rPr>
                <w:rFonts w:ascii="Arial" w:hAnsi="Arial" w:cs="Arial"/>
                <w:szCs w:val="21"/>
                <w:lang w:val="en"/>
              </w:rPr>
              <w:t>High level of skill in the interpretation and application of policies, procedures and legislation applicable to the areas within the ESO.</w:t>
            </w:r>
            <w:r w:rsidRPr="000A2A1C">
              <w:rPr>
                <w:rFonts w:ascii="Arial" w:hAnsi="Arial" w:cs="Arial"/>
                <w:szCs w:val="21"/>
                <w:highlight w:val="yellow"/>
              </w:rPr>
              <w:t xml:space="preserve"> </w:t>
            </w:r>
          </w:p>
          <w:p w14:paraId="68B1F0A9" w14:textId="10216CFA" w:rsidR="00DD62FC" w:rsidRPr="000A2A1C" w:rsidRDefault="00DD62FC" w:rsidP="00DD62FC">
            <w:pPr>
              <w:pStyle w:val="ListParagraph"/>
              <w:numPr>
                <w:ilvl w:val="0"/>
                <w:numId w:val="25"/>
              </w:numPr>
              <w:spacing w:before="120"/>
              <w:jc w:val="both"/>
              <w:rPr>
                <w:rStyle w:val="StyleBodycopyBoldChar"/>
                <w:rFonts w:ascii="Arial" w:hAnsi="Arial" w:cs="Arial"/>
                <w:b/>
                <w:bCs w:val="0"/>
                <w:szCs w:val="21"/>
              </w:rPr>
            </w:pPr>
            <w:r w:rsidRPr="000A2A1C">
              <w:rPr>
                <w:rFonts w:ascii="Arial" w:hAnsi="Arial" w:cs="Arial"/>
                <w:szCs w:val="21"/>
              </w:rPr>
              <w:t>Demonstrated knowledge and understanding, or the demonstrated ability to quickly achieve same, of electrical safety issues, compliance management strategies, including the application of enforcement measures and knowledge of/or ability to rapidly acquire knowledge of OIR operational processes and procedures.</w:t>
            </w:r>
          </w:p>
          <w:p w14:paraId="166C88C0" w14:textId="6396DAA2" w:rsidR="008953FD" w:rsidRPr="000A2A1C" w:rsidRDefault="00DD62FC" w:rsidP="000A2A1C">
            <w:pPr>
              <w:pStyle w:val="Bodycopy"/>
              <w:numPr>
                <w:ilvl w:val="0"/>
                <w:numId w:val="25"/>
              </w:numPr>
              <w:jc w:val="both"/>
              <w:rPr>
                <w:rStyle w:val="StyleBodycopyBoldChar"/>
                <w:rFonts w:ascii="Arial" w:hAnsi="Arial" w:cs="Arial"/>
                <w:b/>
                <w:bCs w:val="0"/>
                <w:sz w:val="21"/>
                <w:szCs w:val="21"/>
              </w:rPr>
            </w:pPr>
            <w:r w:rsidRPr="000A2A1C">
              <w:rPr>
                <w:rStyle w:val="StyleBodycopyBoldChar"/>
                <w:rFonts w:ascii="Arial" w:hAnsi="Arial" w:cs="Arial"/>
                <w:sz w:val="21"/>
                <w:szCs w:val="21"/>
              </w:rPr>
              <w:t>Sound knowledge and understanding of contemporary human resource issues including employment equity, non-discrimination and workplace health and safety</w:t>
            </w:r>
            <w:r w:rsidR="000A2A1C" w:rsidRPr="000A2A1C">
              <w:rPr>
                <w:rStyle w:val="StyleBodycopyBoldChar"/>
                <w:rFonts w:ascii="Arial" w:hAnsi="Arial" w:cs="Arial"/>
                <w:sz w:val="21"/>
                <w:szCs w:val="21"/>
              </w:rPr>
              <w:t xml:space="preserve"> </w:t>
            </w:r>
            <w:r w:rsidRPr="000A2A1C">
              <w:rPr>
                <w:rStyle w:val="StyleBodycopyBoldChar"/>
                <w:rFonts w:ascii="Arial" w:hAnsi="Arial" w:cs="Arial"/>
                <w:sz w:val="21"/>
                <w:szCs w:val="21"/>
              </w:rPr>
              <w:t xml:space="preserve">and ability to apply these to occupational health </w:t>
            </w:r>
            <w:r w:rsidR="000A2A1C" w:rsidRPr="000A2A1C">
              <w:rPr>
                <w:rStyle w:val="StyleBodycopyBoldChar"/>
                <w:rFonts w:ascii="Arial" w:hAnsi="Arial" w:cs="Arial"/>
                <w:sz w:val="21"/>
                <w:szCs w:val="21"/>
              </w:rPr>
              <w:t>issues.</w:t>
            </w:r>
            <w:r w:rsidRPr="000A2A1C">
              <w:rPr>
                <w:rStyle w:val="StyleBodycopyBoldChar"/>
                <w:rFonts w:ascii="Arial" w:hAnsi="Arial" w:cs="Arial"/>
                <w:sz w:val="21"/>
                <w:szCs w:val="21"/>
              </w:rPr>
              <w:t xml:space="preserve"> </w:t>
            </w:r>
            <w:bookmarkEnd w:id="4"/>
          </w:p>
          <w:p w14:paraId="29271519" w14:textId="25ACFC2A" w:rsidR="000A2A1C" w:rsidRPr="000A2A1C" w:rsidRDefault="000A2A1C" w:rsidP="000A2A1C">
            <w:pPr>
              <w:pStyle w:val="Bodycopy"/>
              <w:ind w:left="720"/>
              <w:jc w:val="both"/>
              <w:rPr>
                <w:rFonts w:asciiTheme="majorHAnsi" w:hAnsiTheme="majorHAnsi" w:cstheme="majorHAnsi"/>
                <w:b/>
                <w:szCs w:val="22"/>
              </w:rPr>
            </w:pPr>
          </w:p>
        </w:tc>
      </w:tr>
    </w:tbl>
    <w:p w14:paraId="1F5E4094" w14:textId="77777777" w:rsidR="000A2A1C" w:rsidRDefault="000A2A1C" w:rsidP="00BA473F">
      <w:pPr>
        <w:spacing w:before="120"/>
        <w:rPr>
          <w:sz w:val="28"/>
          <w:szCs w:val="28"/>
        </w:rPr>
      </w:pPr>
    </w:p>
    <w:p w14:paraId="4EF6FA78" w14:textId="158EB90F" w:rsidR="00CA3A0E" w:rsidRPr="00027035" w:rsidRDefault="00811F17" w:rsidP="00BA473F">
      <w:pPr>
        <w:spacing w:before="120"/>
        <w:rPr>
          <w:sz w:val="28"/>
          <w:szCs w:val="28"/>
        </w:rPr>
      </w:pPr>
      <w:r w:rsidRPr="00027035">
        <w:rPr>
          <w:sz w:val="28"/>
          <w:szCs w:val="28"/>
        </w:rPr>
        <w:lastRenderedPageBreak/>
        <w:t xml:space="preserve">How to apply </w:t>
      </w:r>
    </w:p>
    <w:p w14:paraId="678A668D" w14:textId="47EB18BB" w:rsidR="0060790E" w:rsidRPr="00A44F03" w:rsidRDefault="00EC0262" w:rsidP="0002235C">
      <w:pPr>
        <w:rPr>
          <w:szCs w:val="21"/>
        </w:rPr>
      </w:pPr>
      <w:r w:rsidRPr="00A44F03">
        <w:rPr>
          <w:szCs w:val="21"/>
        </w:rPr>
        <w:t xml:space="preserve">Apply </w:t>
      </w:r>
      <w:r w:rsidR="00CA3A0E" w:rsidRPr="00A44F03">
        <w:rPr>
          <w:szCs w:val="21"/>
        </w:rPr>
        <w:t xml:space="preserve">online </w:t>
      </w:r>
      <w:r w:rsidRPr="00A44F03">
        <w:rPr>
          <w:szCs w:val="21"/>
        </w:rPr>
        <w:t xml:space="preserve">at </w:t>
      </w:r>
      <w:hyperlink r:id="rId28" w:history="1">
        <w:r w:rsidR="00CA3A0E" w:rsidRPr="00A44F03">
          <w:rPr>
            <w:rStyle w:val="Hyperlink"/>
            <w:sz w:val="21"/>
            <w:szCs w:val="21"/>
          </w:rPr>
          <w:t>www.smartjobs.qld.gov.au</w:t>
        </w:r>
      </w:hyperlink>
      <w:r w:rsidRPr="00A44F03">
        <w:rPr>
          <w:szCs w:val="21"/>
        </w:rPr>
        <w:t xml:space="preserve">. </w:t>
      </w:r>
      <w:r w:rsidR="0093745A" w:rsidRPr="00A44F03">
        <w:rPr>
          <w:szCs w:val="21"/>
        </w:rPr>
        <w:t>C</w:t>
      </w:r>
      <w:r w:rsidR="00CA3A0E" w:rsidRPr="00A44F03">
        <w:rPr>
          <w:szCs w:val="21"/>
        </w:rPr>
        <w:t>reate</w:t>
      </w:r>
      <w:r w:rsidR="0093745A" w:rsidRPr="00A44F03">
        <w:rPr>
          <w:szCs w:val="21"/>
        </w:rPr>
        <w:t xml:space="preserve"> </w:t>
      </w:r>
      <w:r w:rsidR="00CA3A0E" w:rsidRPr="00A44F03">
        <w:rPr>
          <w:szCs w:val="21"/>
        </w:rPr>
        <w:t xml:space="preserve">a ‘My SmartJob’ account </w:t>
      </w:r>
      <w:r w:rsidRPr="00A44F03">
        <w:rPr>
          <w:szCs w:val="21"/>
        </w:rPr>
        <w:t xml:space="preserve">to submit your application. </w:t>
      </w:r>
      <w:r w:rsidR="0060790E" w:rsidRPr="00A44F03">
        <w:rPr>
          <w:szCs w:val="21"/>
        </w:rPr>
        <w:t xml:space="preserve">Your application </w:t>
      </w:r>
      <w:r w:rsidR="0093745A" w:rsidRPr="00A44F03">
        <w:rPr>
          <w:szCs w:val="21"/>
        </w:rPr>
        <w:t xml:space="preserve">needs </w:t>
      </w:r>
      <w:r w:rsidR="00705E3A" w:rsidRPr="00A44F03">
        <w:rPr>
          <w:szCs w:val="21"/>
        </w:rPr>
        <w:t>to include:</w:t>
      </w:r>
    </w:p>
    <w:p w14:paraId="330313F3" w14:textId="3014AEF6" w:rsidR="00F9789F" w:rsidRPr="004030CE" w:rsidRDefault="0060790E" w:rsidP="00C7427D">
      <w:pPr>
        <w:pStyle w:val="Bulletpoints"/>
      </w:pPr>
      <w:r w:rsidRPr="004030CE">
        <w:t>your current resume, including</w:t>
      </w:r>
      <w:r w:rsidR="00EC0262" w:rsidRPr="004030CE">
        <w:t xml:space="preserve"> </w:t>
      </w:r>
      <w:r w:rsidRPr="004030CE">
        <w:t xml:space="preserve">contact details </w:t>
      </w:r>
      <w:r w:rsidR="00EC0262" w:rsidRPr="004030CE">
        <w:t xml:space="preserve">for </w:t>
      </w:r>
      <w:r w:rsidR="00705E3A" w:rsidRPr="004030CE">
        <w:t xml:space="preserve">at least one referee who has thorough knowledge of your conduct and performance </w:t>
      </w:r>
      <w:r w:rsidR="00EC0262" w:rsidRPr="004030CE">
        <w:t xml:space="preserve">within </w:t>
      </w:r>
      <w:r w:rsidR="00705E3A" w:rsidRPr="004030CE">
        <w:t>the past two years</w:t>
      </w:r>
    </w:p>
    <w:p w14:paraId="1821304A" w14:textId="4D694AF3" w:rsidR="0060790E" w:rsidRPr="004030CE" w:rsidRDefault="00705E3A" w:rsidP="00C7427D">
      <w:pPr>
        <w:pStyle w:val="Bulletpoints"/>
      </w:pPr>
      <w:r w:rsidRPr="004030CE">
        <w:t xml:space="preserve">a </w:t>
      </w:r>
      <w:r w:rsidR="0093745A" w:rsidRPr="004030CE">
        <w:t xml:space="preserve">letter or </w:t>
      </w:r>
      <w:r w:rsidR="0060790E" w:rsidRPr="004030CE">
        <w:t>statement (</w:t>
      </w:r>
      <w:r w:rsidR="0093745A" w:rsidRPr="004030CE">
        <w:t>one to two pages</w:t>
      </w:r>
      <w:r w:rsidR="0060790E" w:rsidRPr="004030CE">
        <w:t>)</w:t>
      </w:r>
      <w:r w:rsidR="0093745A" w:rsidRPr="004030CE">
        <w:t xml:space="preserve"> </w:t>
      </w:r>
      <w:r w:rsidR="00CA3A0E" w:rsidRPr="004030CE">
        <w:t xml:space="preserve">that </w:t>
      </w:r>
      <w:r w:rsidR="00EC0262" w:rsidRPr="004030CE">
        <w:t xml:space="preserve">addresses the </w:t>
      </w:r>
      <w:r w:rsidRPr="004030CE">
        <w:t>‘What are we looking for</w:t>
      </w:r>
      <w:r w:rsidR="0093745A" w:rsidRPr="004030CE">
        <w:t>’</w:t>
      </w:r>
      <w:r w:rsidR="00EC0262" w:rsidRPr="004030CE">
        <w:t xml:space="preserve"> section above.</w:t>
      </w:r>
    </w:p>
    <w:p w14:paraId="0637CBC0" w14:textId="0F020600" w:rsidR="00F16184" w:rsidRDefault="00C7427D" w:rsidP="0002235C">
      <w:r>
        <w:t xml:space="preserve">Enquiries </w:t>
      </w:r>
      <w:r w:rsidR="00B64231">
        <w:t xml:space="preserve">about </w:t>
      </w:r>
      <w:r w:rsidR="00EC0262">
        <w:t>culture</w:t>
      </w:r>
      <w:r w:rsidR="004A577C">
        <w:t>,</w:t>
      </w:r>
      <w:r w:rsidR="00EC0262">
        <w:t xml:space="preserve"> safety or reasonable adjustments</w:t>
      </w:r>
      <w:r>
        <w:t xml:space="preserve"> can be directed to the </w:t>
      </w:r>
      <w:r w:rsidR="00EC0262">
        <w:t xml:space="preserve">contact person for this role. For technical difficulties with submitting your application, contact </w:t>
      </w:r>
      <w:r w:rsidR="0060790E" w:rsidRPr="005D42EA">
        <w:t>13 QGOV (13 7468)</w:t>
      </w:r>
      <w:r>
        <w:t xml:space="preserve"> or phone </w:t>
      </w:r>
      <w:r w:rsidR="00EC0262">
        <w:t>OIR Human Resources on 07 3406 9943</w:t>
      </w:r>
      <w:r>
        <w:t>.</w:t>
      </w:r>
    </w:p>
    <w:p w14:paraId="37DBA0A7" w14:textId="334DC157" w:rsidR="0060790E" w:rsidRPr="005D42EA" w:rsidRDefault="00EC0262" w:rsidP="0002235C">
      <w:r>
        <w:t>Please allow enough time before the closing date to submit your application.</w:t>
      </w:r>
      <w:r w:rsidR="00180C3D">
        <w:t xml:space="preserve"> Requests for late applications </w:t>
      </w:r>
      <w:r w:rsidR="009F7A87">
        <w:t xml:space="preserve">are to be </w:t>
      </w:r>
      <w:r w:rsidR="00180C3D">
        <w:t xml:space="preserve">forwarded to the </w:t>
      </w:r>
      <w:r>
        <w:t>contact person</w:t>
      </w:r>
      <w:r w:rsidR="00180C3D">
        <w:t xml:space="preserve"> for consideration.</w:t>
      </w:r>
    </w:p>
    <w:p w14:paraId="460C4AD2" w14:textId="3814CC21" w:rsidR="00180C3D" w:rsidRDefault="00FF5EB0" w:rsidP="00FF5EB0">
      <w:r>
        <w:t>Please read OIR’s Applicant guide to learn more about the OIR</w:t>
      </w:r>
      <w:r w:rsidR="00FD1A36">
        <w:t xml:space="preserve"> and </w:t>
      </w:r>
      <w:r>
        <w:t>assist you to apply for a role</w:t>
      </w:r>
      <w:r w:rsidR="00FD1A36">
        <w:t xml:space="preserve">. To discuss your needs for cultural safety or reasonable adjustments </w:t>
      </w:r>
      <w:r w:rsidR="0083149E">
        <w:t xml:space="preserve">to help you </w:t>
      </w:r>
      <w:r>
        <w:t>participate in the recruitment and selection process</w:t>
      </w:r>
      <w:r w:rsidR="00FD1A36">
        <w:t>, please advise the contact person for this role.</w:t>
      </w:r>
    </w:p>
    <w:sectPr w:rsidR="00180C3D" w:rsidSect="00C73292">
      <w:footerReference w:type="even" r:id="rId29"/>
      <w:footerReference w:type="default" r:id="rId30"/>
      <w:headerReference w:type="first" r:id="rId31"/>
      <w:footerReference w:type="first" r:id="rId32"/>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9694E" w14:textId="77777777" w:rsidR="00D37D85" w:rsidRDefault="00D37D85" w:rsidP="0024413D">
      <w:pPr>
        <w:spacing w:after="0" w:line="240" w:lineRule="auto"/>
      </w:pPr>
      <w:r>
        <w:separator/>
      </w:r>
    </w:p>
  </w:endnote>
  <w:endnote w:type="continuationSeparator" w:id="0">
    <w:p w14:paraId="26AF0830" w14:textId="77777777" w:rsidR="00D37D85" w:rsidRDefault="00D37D85" w:rsidP="0024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661135"/>
      <w:docPartObj>
        <w:docPartGallery w:val="Page Numbers (Bottom of Page)"/>
        <w:docPartUnique/>
      </w:docPartObj>
    </w:sdtPr>
    <w:sdtEndPr>
      <w:rPr>
        <w:rStyle w:val="PageNumber"/>
      </w:rPr>
    </w:sdtEndPr>
    <w:sdtContent>
      <w:p w14:paraId="6FAF00A9" w14:textId="67FF92ED" w:rsidR="00C73292" w:rsidRDefault="00C73292" w:rsidP="006811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287B">
          <w:rPr>
            <w:rStyle w:val="PageNumber"/>
            <w:noProof/>
          </w:rPr>
          <w:t>2</w:t>
        </w:r>
        <w:r>
          <w:rPr>
            <w:rStyle w:val="PageNumber"/>
          </w:rPr>
          <w:fldChar w:fldCharType="end"/>
        </w:r>
      </w:p>
    </w:sdtContent>
  </w:sdt>
  <w:p w14:paraId="27B935ED" w14:textId="77777777" w:rsidR="00C73292" w:rsidRDefault="00C73292" w:rsidP="00C73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700521"/>
      <w:docPartObj>
        <w:docPartGallery w:val="Page Numbers (Bottom of Page)"/>
        <w:docPartUnique/>
      </w:docPartObj>
    </w:sdtPr>
    <w:sdtEndPr>
      <w:rPr>
        <w:rStyle w:val="PageNumber"/>
      </w:rPr>
    </w:sdtEndPr>
    <w:sdtContent>
      <w:p w14:paraId="204D382C" w14:textId="77777777" w:rsidR="00C73292" w:rsidRDefault="00C73292" w:rsidP="00C73292">
        <w:pPr>
          <w:pStyle w:val="Footer"/>
          <w:framePr w:wrap="none" w:vAnchor="text" w:hAnchor="page" w:x="11053" w:y="43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70BF2F" w14:textId="0F76DDD4" w:rsidR="00C73292" w:rsidRDefault="00DA645B" w:rsidP="00C73292">
    <w:pPr>
      <w:pStyle w:val="Footer"/>
      <w:ind w:right="360"/>
    </w:pPr>
    <w:r>
      <w:rPr>
        <w:noProof/>
      </w:rPr>
      <mc:AlternateContent>
        <mc:Choice Requires="wps">
          <w:drawing>
            <wp:anchor distT="4294967295" distB="4294967295" distL="114300" distR="114300" simplePos="0" relativeHeight="251661312" behindDoc="0" locked="0" layoutInCell="1" allowOverlap="1" wp14:anchorId="6FBA3B66" wp14:editId="04320F05">
              <wp:simplePos x="0" y="0"/>
              <wp:positionH relativeFrom="column">
                <wp:posOffset>22860</wp:posOffset>
              </wp:positionH>
              <wp:positionV relativeFrom="paragraph">
                <wp:posOffset>213994</wp:posOffset>
              </wp:positionV>
              <wp:extent cx="661416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4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7AE29D"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6.85pt" to="522.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" strokecolor="#4472c4 [3204]" strokeweight=".5pt">
              <v:stroke joinstyle="miter"/>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33F89FA8" wp14:editId="44CBE6D2">
              <wp:simplePos x="0" y="0"/>
              <wp:positionH relativeFrom="column">
                <wp:posOffset>22860</wp:posOffset>
              </wp:positionH>
              <wp:positionV relativeFrom="paragraph">
                <wp:posOffset>221615</wp:posOffset>
              </wp:positionV>
              <wp:extent cx="6370320" cy="2438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0320" cy="243840"/>
                      </a:xfrm>
                      <a:prstGeom prst="rect">
                        <a:avLst/>
                      </a:prstGeom>
                      <a:noFill/>
                      <a:ln w="6350">
                        <a:noFill/>
                      </a:ln>
                    </wps:spPr>
                    <wps:txbx>
                      <w:txbxContent>
                        <w:p w14:paraId="48DB941C" w14:textId="020CA885" w:rsidR="00C73292" w:rsidRPr="00BF7C29" w:rsidRDefault="004030CE" w:rsidP="00BF7C29">
                          <w:pPr>
                            <w:pStyle w:val="Default"/>
                            <w:spacing w:after="40" w:line="200" w:lineRule="atLeast"/>
                            <w:rPr>
                              <w:i/>
                              <w:iCs/>
                              <w:color w:val="4472C4" w:themeColor="accent1"/>
                              <w:sz w:val="20"/>
                              <w:szCs w:val="20"/>
                            </w:rPr>
                          </w:pPr>
                          <w:r>
                            <w:rPr>
                              <w:i/>
                              <w:iCs/>
                              <w:color w:val="4472C4" w:themeColor="accent1"/>
                              <w:sz w:val="20"/>
                              <w:szCs w:val="20"/>
                            </w:rPr>
                            <w:t xml:space="preserve">Manager </w:t>
                          </w:r>
                          <w:r w:rsidR="009F7A87">
                            <w:rPr>
                              <w:i/>
                              <w:iCs/>
                              <w:color w:val="4472C4" w:themeColor="accent1"/>
                              <w:sz w:val="20"/>
                              <w:szCs w:val="20"/>
                            </w:rPr>
                            <w:t>(</w:t>
                          </w:r>
                          <w:r>
                            <w:rPr>
                              <w:i/>
                              <w:iCs/>
                              <w:color w:val="4472C4" w:themeColor="accent1"/>
                              <w:sz w:val="20"/>
                              <w:szCs w:val="20"/>
                            </w:rPr>
                            <w:t>AO8</w:t>
                          </w:r>
                          <w:r w:rsidR="009F7A87">
                            <w:rPr>
                              <w:i/>
                              <w:iCs/>
                              <w:color w:val="4472C4" w:themeColor="accent1"/>
                              <w:sz w:val="20"/>
                              <w:szCs w:val="20"/>
                            </w:rPr>
                            <w:t xml:space="preserve">), </w:t>
                          </w:r>
                          <w:r>
                            <w:rPr>
                              <w:i/>
                              <w:iCs/>
                              <w:color w:val="4472C4" w:themeColor="accent1"/>
                              <w:sz w:val="20"/>
                              <w:szCs w:val="20"/>
                            </w:rPr>
                            <w:t>Governance and Compliance, Electrical Safety Office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89FA8" id="_x0000_t202" coordsize="21600,21600" o:spt="202" path="m,l,21600r21600,l21600,xe">
              <v:stroke joinstyle="miter"/>
              <v:path gradientshapeok="t" o:connecttype="rect"/>
            </v:shapetype>
            <v:shape id="Text Box 1" o:spid="_x0000_s1026" type="#_x0000_t202" style="position:absolute;margin-left:1.8pt;margin-top:17.45pt;width:501.6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" filled="f" stroked="f" strokeweight=".5pt">
              <v:textbox inset="1mm,1mm,1mm,1mm">
                <w:txbxContent>
                  <w:p w14:paraId="48DB941C" w14:textId="020CA885" w:rsidR="00C73292" w:rsidRPr="00BF7C29" w:rsidRDefault="004030CE" w:rsidP="00BF7C29">
                    <w:pPr>
                      <w:pStyle w:val="Default"/>
                      <w:spacing w:after="40" w:line="200" w:lineRule="atLeast"/>
                      <w:rPr>
                        <w:i/>
                        <w:iCs/>
                        <w:color w:val="4472C4" w:themeColor="accent1"/>
                        <w:sz w:val="20"/>
                        <w:szCs w:val="20"/>
                      </w:rPr>
                    </w:pPr>
                    <w:r>
                      <w:rPr>
                        <w:i/>
                        <w:iCs/>
                        <w:color w:val="4472C4" w:themeColor="accent1"/>
                        <w:sz w:val="20"/>
                        <w:szCs w:val="20"/>
                      </w:rPr>
                      <w:t xml:space="preserve">Manager </w:t>
                    </w:r>
                    <w:r w:rsidR="009F7A87">
                      <w:rPr>
                        <w:i/>
                        <w:iCs/>
                        <w:color w:val="4472C4" w:themeColor="accent1"/>
                        <w:sz w:val="20"/>
                        <w:szCs w:val="20"/>
                      </w:rPr>
                      <w:t>(</w:t>
                    </w:r>
                    <w:r>
                      <w:rPr>
                        <w:i/>
                        <w:iCs/>
                        <w:color w:val="4472C4" w:themeColor="accent1"/>
                        <w:sz w:val="20"/>
                        <w:szCs w:val="20"/>
                      </w:rPr>
                      <w:t>AO8</w:t>
                    </w:r>
                    <w:r w:rsidR="009F7A87">
                      <w:rPr>
                        <w:i/>
                        <w:iCs/>
                        <w:color w:val="4472C4" w:themeColor="accent1"/>
                        <w:sz w:val="20"/>
                        <w:szCs w:val="20"/>
                      </w:rPr>
                      <w:t xml:space="preserve">), </w:t>
                    </w:r>
                    <w:r>
                      <w:rPr>
                        <w:i/>
                        <w:iCs/>
                        <w:color w:val="4472C4" w:themeColor="accent1"/>
                        <w:sz w:val="20"/>
                        <w:szCs w:val="20"/>
                      </w:rPr>
                      <w:t>Governance and Compliance, Electrical Safety Office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0B7D" w14:textId="68CE5244" w:rsidR="007E3250" w:rsidRDefault="007E3250" w:rsidP="00C73292">
    <w:pPr>
      <w:pStyle w:val="Footer"/>
      <w:ind w:right="360"/>
    </w:pPr>
    <w:r>
      <w:rPr>
        <w:noProof/>
      </w:rPr>
      <w:drawing>
        <wp:anchor distT="0" distB="0" distL="114300" distR="114300" simplePos="0" relativeHeight="251662336" behindDoc="1" locked="0" layoutInCell="1" allowOverlap="1" wp14:anchorId="0A787B87" wp14:editId="4E36E3FA">
          <wp:simplePos x="0" y="0"/>
          <wp:positionH relativeFrom="page">
            <wp:align>left</wp:align>
          </wp:positionH>
          <wp:positionV relativeFrom="paragraph">
            <wp:posOffset>10160</wp:posOffset>
          </wp:positionV>
          <wp:extent cx="7563600" cy="1220400"/>
          <wp:effectExtent l="0" t="0" r="0" b="0"/>
          <wp:wrapNone/>
          <wp:docPr id="9" name="Picture 9"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781998" name="Picture 3"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220400"/>
                  </a:xfrm>
                  <a:prstGeom prst="rect">
                    <a:avLst/>
                  </a:prstGeom>
                </pic:spPr>
              </pic:pic>
            </a:graphicData>
          </a:graphic>
          <wp14:sizeRelH relativeFrom="margin">
            <wp14:pctWidth>0</wp14:pctWidth>
          </wp14:sizeRelH>
          <wp14:sizeRelV relativeFrom="margin">
            <wp14:pctHeight>0</wp14:pctHeight>
          </wp14:sizeRelV>
        </wp:anchor>
      </w:drawing>
    </w:r>
  </w:p>
  <w:p w14:paraId="0887014D" w14:textId="2BAE1CCA" w:rsidR="007E3250" w:rsidRDefault="007E3250" w:rsidP="00C73292">
    <w:pPr>
      <w:pStyle w:val="Footer"/>
      <w:ind w:right="360"/>
    </w:pPr>
  </w:p>
  <w:p w14:paraId="2B8E3EBB" w14:textId="0BF96F63" w:rsidR="007E3250" w:rsidRDefault="007E3250" w:rsidP="00C73292">
    <w:pPr>
      <w:pStyle w:val="Footer"/>
      <w:ind w:right="360"/>
    </w:pPr>
  </w:p>
  <w:p w14:paraId="017B5B26" w14:textId="77777777" w:rsidR="007E3250" w:rsidRDefault="007E3250" w:rsidP="00C73292">
    <w:pPr>
      <w:pStyle w:val="Footer"/>
      <w:ind w:right="360"/>
    </w:pPr>
  </w:p>
  <w:p w14:paraId="79486281" w14:textId="6286CF5F" w:rsidR="00C73292" w:rsidRDefault="00C73292" w:rsidP="00C732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85E4" w14:textId="77777777" w:rsidR="00D37D85" w:rsidRDefault="00D37D85" w:rsidP="0024413D">
      <w:pPr>
        <w:spacing w:after="0" w:line="240" w:lineRule="auto"/>
      </w:pPr>
      <w:r>
        <w:separator/>
      </w:r>
    </w:p>
  </w:footnote>
  <w:footnote w:type="continuationSeparator" w:id="0">
    <w:p w14:paraId="71486146" w14:textId="77777777" w:rsidR="00D37D85" w:rsidRDefault="00D37D85" w:rsidP="00244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EE23" w14:textId="49DAD58D" w:rsidR="00D56EF4" w:rsidRDefault="00FE46FF" w:rsidP="00FE46FF">
    <w:pPr>
      <w:pStyle w:val="Default"/>
      <w:spacing w:before="120" w:after="120" w:line="260" w:lineRule="atLeast"/>
      <w:jc w:val="right"/>
      <w:rPr>
        <w:sz w:val="44"/>
        <w:szCs w:val="44"/>
      </w:rPr>
    </w:pPr>
    <w:r w:rsidRPr="00FE46FF">
      <w:rPr>
        <w:noProof/>
        <w:color w:val="FFFFFF" w:themeColor="background1"/>
      </w:rPr>
      <w:drawing>
        <wp:anchor distT="0" distB="0" distL="114300" distR="114300" simplePos="0" relativeHeight="251659264" behindDoc="1" locked="0" layoutInCell="1" allowOverlap="1" wp14:anchorId="5B2DF554" wp14:editId="6C95E373">
          <wp:simplePos x="0" y="0"/>
          <wp:positionH relativeFrom="page">
            <wp:align>left</wp:align>
          </wp:positionH>
          <wp:positionV relativeFrom="paragraph">
            <wp:posOffset>-446405</wp:posOffset>
          </wp:positionV>
          <wp:extent cx="7556500" cy="14351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5E2">
      <w:rPr>
        <w:color w:val="FFFFFF" w:themeColor="background1"/>
        <w:sz w:val="44"/>
        <w:szCs w:val="44"/>
      </w:rPr>
      <w:t>Manager, Compliance and Governance (AO8)</w:t>
    </w:r>
  </w:p>
  <w:p w14:paraId="1BA0591C" w14:textId="77777777" w:rsidR="00FE46FF" w:rsidRDefault="00FE46FF" w:rsidP="00FE46FF">
    <w:pPr>
      <w:pStyle w:val="Default"/>
      <w:spacing w:before="120" w:after="120" w:line="260" w:lineRule="atLeast"/>
      <w:jc w:val="right"/>
    </w:pPr>
  </w:p>
  <w:p w14:paraId="70C20E11" w14:textId="1BA37680" w:rsidR="00C73292" w:rsidRDefault="00C73292">
    <w:pPr>
      <w:pStyle w:val="Header"/>
    </w:pPr>
  </w:p>
  <w:p w14:paraId="135BC5A2" w14:textId="77777777" w:rsidR="00EA561D" w:rsidRDefault="00EA5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7B0"/>
    <w:multiLevelType w:val="hybridMultilevel"/>
    <w:tmpl w:val="EAD0B89C"/>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819F6"/>
    <w:multiLevelType w:val="hybridMultilevel"/>
    <w:tmpl w:val="829C22BE"/>
    <w:lvl w:ilvl="0" w:tplc="344CD3EA">
      <w:start w:val="1"/>
      <w:numFmt w:val="bullet"/>
      <w:pStyle w:val="StyleBodycopyBold"/>
      <w:lvlText w:val=""/>
      <w:lvlJc w:val="left"/>
      <w:pPr>
        <w:tabs>
          <w:tab w:val="num" w:pos="181"/>
        </w:tabs>
        <w:ind w:left="181" w:hanging="360"/>
      </w:pPr>
      <w:rPr>
        <w:rFonts w:ascii="Symbol" w:hAnsi="Symbol" w:hint="default"/>
      </w:rPr>
    </w:lvl>
    <w:lvl w:ilvl="1" w:tplc="0C090003">
      <w:start w:val="1"/>
      <w:numFmt w:val="bullet"/>
      <w:lvlText w:val="o"/>
      <w:lvlJc w:val="left"/>
      <w:pPr>
        <w:tabs>
          <w:tab w:val="num" w:pos="901"/>
        </w:tabs>
        <w:ind w:left="901" w:hanging="360"/>
      </w:pPr>
      <w:rPr>
        <w:rFonts w:ascii="Courier New" w:hAnsi="Courier New" w:cs="Courier New" w:hint="default"/>
      </w:rPr>
    </w:lvl>
    <w:lvl w:ilvl="2" w:tplc="0C090005" w:tentative="1">
      <w:start w:val="1"/>
      <w:numFmt w:val="bullet"/>
      <w:lvlText w:val=""/>
      <w:lvlJc w:val="left"/>
      <w:pPr>
        <w:tabs>
          <w:tab w:val="num" w:pos="1621"/>
        </w:tabs>
        <w:ind w:left="1621" w:hanging="360"/>
      </w:pPr>
      <w:rPr>
        <w:rFonts w:ascii="Wingdings" w:hAnsi="Wingdings" w:hint="default"/>
      </w:rPr>
    </w:lvl>
    <w:lvl w:ilvl="3" w:tplc="0C090001" w:tentative="1">
      <w:start w:val="1"/>
      <w:numFmt w:val="bullet"/>
      <w:lvlText w:val=""/>
      <w:lvlJc w:val="left"/>
      <w:pPr>
        <w:tabs>
          <w:tab w:val="num" w:pos="2341"/>
        </w:tabs>
        <w:ind w:left="2341" w:hanging="360"/>
      </w:pPr>
      <w:rPr>
        <w:rFonts w:ascii="Symbol" w:hAnsi="Symbol" w:hint="default"/>
      </w:rPr>
    </w:lvl>
    <w:lvl w:ilvl="4" w:tplc="0C090003" w:tentative="1">
      <w:start w:val="1"/>
      <w:numFmt w:val="bullet"/>
      <w:lvlText w:val="o"/>
      <w:lvlJc w:val="left"/>
      <w:pPr>
        <w:tabs>
          <w:tab w:val="num" w:pos="3061"/>
        </w:tabs>
        <w:ind w:left="3061" w:hanging="360"/>
      </w:pPr>
      <w:rPr>
        <w:rFonts w:ascii="Courier New" w:hAnsi="Courier New" w:cs="Courier New" w:hint="default"/>
      </w:rPr>
    </w:lvl>
    <w:lvl w:ilvl="5" w:tplc="0C090005" w:tentative="1">
      <w:start w:val="1"/>
      <w:numFmt w:val="bullet"/>
      <w:lvlText w:val=""/>
      <w:lvlJc w:val="left"/>
      <w:pPr>
        <w:tabs>
          <w:tab w:val="num" w:pos="3781"/>
        </w:tabs>
        <w:ind w:left="3781" w:hanging="360"/>
      </w:pPr>
      <w:rPr>
        <w:rFonts w:ascii="Wingdings" w:hAnsi="Wingdings" w:hint="default"/>
      </w:rPr>
    </w:lvl>
    <w:lvl w:ilvl="6" w:tplc="0C090001" w:tentative="1">
      <w:start w:val="1"/>
      <w:numFmt w:val="bullet"/>
      <w:lvlText w:val=""/>
      <w:lvlJc w:val="left"/>
      <w:pPr>
        <w:tabs>
          <w:tab w:val="num" w:pos="4501"/>
        </w:tabs>
        <w:ind w:left="4501" w:hanging="360"/>
      </w:pPr>
      <w:rPr>
        <w:rFonts w:ascii="Symbol" w:hAnsi="Symbol" w:hint="default"/>
      </w:rPr>
    </w:lvl>
    <w:lvl w:ilvl="7" w:tplc="0C090003" w:tentative="1">
      <w:start w:val="1"/>
      <w:numFmt w:val="bullet"/>
      <w:lvlText w:val="o"/>
      <w:lvlJc w:val="left"/>
      <w:pPr>
        <w:tabs>
          <w:tab w:val="num" w:pos="5221"/>
        </w:tabs>
        <w:ind w:left="5221" w:hanging="360"/>
      </w:pPr>
      <w:rPr>
        <w:rFonts w:ascii="Courier New" w:hAnsi="Courier New" w:cs="Courier New" w:hint="default"/>
      </w:rPr>
    </w:lvl>
    <w:lvl w:ilvl="8" w:tplc="0C090005" w:tentative="1">
      <w:start w:val="1"/>
      <w:numFmt w:val="bullet"/>
      <w:lvlText w:val=""/>
      <w:lvlJc w:val="left"/>
      <w:pPr>
        <w:tabs>
          <w:tab w:val="num" w:pos="5941"/>
        </w:tabs>
        <w:ind w:left="5941" w:hanging="360"/>
      </w:pPr>
      <w:rPr>
        <w:rFonts w:ascii="Wingdings" w:hAnsi="Wingdings" w:hint="default"/>
      </w:rPr>
    </w:lvl>
  </w:abstractNum>
  <w:abstractNum w:abstractNumId="2" w15:restartNumberingAfterBreak="0">
    <w:nsid w:val="0F0E332E"/>
    <w:multiLevelType w:val="hybridMultilevel"/>
    <w:tmpl w:val="2CA4E5D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0F69691B"/>
    <w:multiLevelType w:val="hybridMultilevel"/>
    <w:tmpl w:val="ED740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651DAE"/>
    <w:multiLevelType w:val="hybridMultilevel"/>
    <w:tmpl w:val="3454D276"/>
    <w:lvl w:ilvl="0" w:tplc="0C09000D">
      <w:start w:val="1"/>
      <w:numFmt w:val="bullet"/>
      <w:lvlText w:val=""/>
      <w:lvlJc w:val="left"/>
      <w:pPr>
        <w:ind w:left="-131" w:hanging="360"/>
      </w:pPr>
      <w:rPr>
        <w:rFonts w:ascii="Wingdings" w:hAnsi="Wingding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5" w15:restartNumberingAfterBreak="0">
    <w:nsid w:val="14E66CCE"/>
    <w:multiLevelType w:val="hybridMultilevel"/>
    <w:tmpl w:val="C3F4DAF0"/>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A7968"/>
    <w:multiLevelType w:val="hybridMultilevel"/>
    <w:tmpl w:val="D542D0B4"/>
    <w:lvl w:ilvl="0" w:tplc="0C090001">
      <w:start w:val="1"/>
      <w:numFmt w:val="bullet"/>
      <w:lvlText w:val=""/>
      <w:lvlJc w:val="left"/>
      <w:pPr>
        <w:ind w:left="180" w:hanging="360"/>
      </w:pPr>
      <w:rPr>
        <w:rFonts w:ascii="Symbol" w:hAnsi="Symbol"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7" w15:restartNumberingAfterBreak="0">
    <w:nsid w:val="16945905"/>
    <w:multiLevelType w:val="hybridMultilevel"/>
    <w:tmpl w:val="5E82219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5C7543"/>
    <w:multiLevelType w:val="hybridMultilevel"/>
    <w:tmpl w:val="A4DE4EE6"/>
    <w:lvl w:ilvl="0" w:tplc="BB9ABBB8">
      <w:start w:val="1"/>
      <w:numFmt w:val="bullet"/>
      <w:lvlText w:val=""/>
      <w:lvlJc w:val="left"/>
      <w:pPr>
        <w:ind w:left="-207"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15:restartNumberingAfterBreak="0">
    <w:nsid w:val="21404C04"/>
    <w:multiLevelType w:val="hybridMultilevel"/>
    <w:tmpl w:val="E9E21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F3204E"/>
    <w:multiLevelType w:val="hybridMultilevel"/>
    <w:tmpl w:val="BC58EAAA"/>
    <w:lvl w:ilvl="0" w:tplc="D46E3AA8">
      <w:start w:val="1"/>
      <w:numFmt w:val="bullet"/>
      <w:pStyle w:val="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352687"/>
    <w:multiLevelType w:val="hybridMultilevel"/>
    <w:tmpl w:val="620CD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6700DD"/>
    <w:multiLevelType w:val="hybridMultilevel"/>
    <w:tmpl w:val="8CB2F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D0F57"/>
    <w:multiLevelType w:val="hybridMultilevel"/>
    <w:tmpl w:val="579A0926"/>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4304E6"/>
    <w:multiLevelType w:val="hybridMultilevel"/>
    <w:tmpl w:val="584CF4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BF74EC"/>
    <w:multiLevelType w:val="hybridMultilevel"/>
    <w:tmpl w:val="A01A913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EF3489"/>
    <w:multiLevelType w:val="hybridMultilevel"/>
    <w:tmpl w:val="836893F0"/>
    <w:lvl w:ilvl="0" w:tplc="74BCC510">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ind w:left="518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533C4D"/>
    <w:multiLevelType w:val="hybridMultilevel"/>
    <w:tmpl w:val="4AB8CF64"/>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985A08"/>
    <w:multiLevelType w:val="hybridMultilevel"/>
    <w:tmpl w:val="7098EAB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9" w15:restartNumberingAfterBreak="0">
    <w:nsid w:val="50800C1B"/>
    <w:multiLevelType w:val="hybridMultilevel"/>
    <w:tmpl w:val="71E4A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3B580E"/>
    <w:multiLevelType w:val="hybridMultilevel"/>
    <w:tmpl w:val="BAEEB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334A02"/>
    <w:multiLevelType w:val="hybridMultilevel"/>
    <w:tmpl w:val="D1D2DB56"/>
    <w:lvl w:ilvl="0" w:tplc="0C090001">
      <w:start w:val="1"/>
      <w:numFmt w:val="bullet"/>
      <w:lvlText w:val=""/>
      <w:lvlJc w:val="left"/>
      <w:pPr>
        <w:ind w:left="613" w:hanging="360"/>
      </w:pPr>
      <w:rPr>
        <w:rFonts w:ascii="Symbol" w:hAnsi="Symbol" w:hint="default"/>
      </w:rPr>
    </w:lvl>
    <w:lvl w:ilvl="1" w:tplc="0C090003" w:tentative="1">
      <w:start w:val="1"/>
      <w:numFmt w:val="bullet"/>
      <w:lvlText w:val="o"/>
      <w:lvlJc w:val="left"/>
      <w:pPr>
        <w:ind w:left="1333" w:hanging="360"/>
      </w:pPr>
      <w:rPr>
        <w:rFonts w:ascii="Courier New" w:hAnsi="Courier New" w:cs="Courier New" w:hint="default"/>
      </w:rPr>
    </w:lvl>
    <w:lvl w:ilvl="2" w:tplc="0C090005" w:tentative="1">
      <w:start w:val="1"/>
      <w:numFmt w:val="bullet"/>
      <w:lvlText w:val=""/>
      <w:lvlJc w:val="left"/>
      <w:pPr>
        <w:ind w:left="2053" w:hanging="360"/>
      </w:pPr>
      <w:rPr>
        <w:rFonts w:ascii="Wingdings" w:hAnsi="Wingdings" w:hint="default"/>
      </w:rPr>
    </w:lvl>
    <w:lvl w:ilvl="3" w:tplc="0C090001" w:tentative="1">
      <w:start w:val="1"/>
      <w:numFmt w:val="bullet"/>
      <w:lvlText w:val=""/>
      <w:lvlJc w:val="left"/>
      <w:pPr>
        <w:ind w:left="2773" w:hanging="360"/>
      </w:pPr>
      <w:rPr>
        <w:rFonts w:ascii="Symbol" w:hAnsi="Symbol" w:hint="default"/>
      </w:rPr>
    </w:lvl>
    <w:lvl w:ilvl="4" w:tplc="0C090003" w:tentative="1">
      <w:start w:val="1"/>
      <w:numFmt w:val="bullet"/>
      <w:lvlText w:val="o"/>
      <w:lvlJc w:val="left"/>
      <w:pPr>
        <w:ind w:left="3493" w:hanging="360"/>
      </w:pPr>
      <w:rPr>
        <w:rFonts w:ascii="Courier New" w:hAnsi="Courier New" w:cs="Courier New" w:hint="default"/>
      </w:rPr>
    </w:lvl>
    <w:lvl w:ilvl="5" w:tplc="0C090005" w:tentative="1">
      <w:start w:val="1"/>
      <w:numFmt w:val="bullet"/>
      <w:lvlText w:val=""/>
      <w:lvlJc w:val="left"/>
      <w:pPr>
        <w:ind w:left="4213" w:hanging="360"/>
      </w:pPr>
      <w:rPr>
        <w:rFonts w:ascii="Wingdings" w:hAnsi="Wingdings" w:hint="default"/>
      </w:rPr>
    </w:lvl>
    <w:lvl w:ilvl="6" w:tplc="0C090001" w:tentative="1">
      <w:start w:val="1"/>
      <w:numFmt w:val="bullet"/>
      <w:lvlText w:val=""/>
      <w:lvlJc w:val="left"/>
      <w:pPr>
        <w:ind w:left="4933" w:hanging="360"/>
      </w:pPr>
      <w:rPr>
        <w:rFonts w:ascii="Symbol" w:hAnsi="Symbol" w:hint="default"/>
      </w:rPr>
    </w:lvl>
    <w:lvl w:ilvl="7" w:tplc="0C090003" w:tentative="1">
      <w:start w:val="1"/>
      <w:numFmt w:val="bullet"/>
      <w:lvlText w:val="o"/>
      <w:lvlJc w:val="left"/>
      <w:pPr>
        <w:ind w:left="5653" w:hanging="360"/>
      </w:pPr>
      <w:rPr>
        <w:rFonts w:ascii="Courier New" w:hAnsi="Courier New" w:cs="Courier New" w:hint="default"/>
      </w:rPr>
    </w:lvl>
    <w:lvl w:ilvl="8" w:tplc="0C090005" w:tentative="1">
      <w:start w:val="1"/>
      <w:numFmt w:val="bullet"/>
      <w:lvlText w:val=""/>
      <w:lvlJc w:val="left"/>
      <w:pPr>
        <w:ind w:left="6373" w:hanging="360"/>
      </w:pPr>
      <w:rPr>
        <w:rFonts w:ascii="Wingdings" w:hAnsi="Wingdings" w:hint="default"/>
      </w:rPr>
    </w:lvl>
  </w:abstractNum>
  <w:abstractNum w:abstractNumId="22" w15:restartNumberingAfterBreak="0">
    <w:nsid w:val="5EEF4F67"/>
    <w:multiLevelType w:val="hybridMultilevel"/>
    <w:tmpl w:val="A3349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3666B8"/>
    <w:multiLevelType w:val="hybridMultilevel"/>
    <w:tmpl w:val="E9AAB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B64555"/>
    <w:multiLevelType w:val="hybridMultilevel"/>
    <w:tmpl w:val="19FC395C"/>
    <w:lvl w:ilvl="0" w:tplc="5B24FB64">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C76664"/>
    <w:multiLevelType w:val="hybridMultilevel"/>
    <w:tmpl w:val="BAA62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8D297D"/>
    <w:multiLevelType w:val="hybridMultilevel"/>
    <w:tmpl w:val="CBC49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DB2BEE"/>
    <w:multiLevelType w:val="hybridMultilevel"/>
    <w:tmpl w:val="F0EAD220"/>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216ADC"/>
    <w:multiLevelType w:val="hybridMultilevel"/>
    <w:tmpl w:val="DA8E0932"/>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6721177">
    <w:abstractNumId w:val="9"/>
  </w:num>
  <w:num w:numId="2" w16cid:durableId="1039276750">
    <w:abstractNumId w:val="4"/>
  </w:num>
  <w:num w:numId="3" w16cid:durableId="1992171045">
    <w:abstractNumId w:val="19"/>
  </w:num>
  <w:num w:numId="4" w16cid:durableId="1105229608">
    <w:abstractNumId w:val="17"/>
  </w:num>
  <w:num w:numId="5" w16cid:durableId="46072774">
    <w:abstractNumId w:val="23"/>
  </w:num>
  <w:num w:numId="6" w16cid:durableId="1009336612">
    <w:abstractNumId w:val="13"/>
  </w:num>
  <w:num w:numId="7" w16cid:durableId="1583173733">
    <w:abstractNumId w:val="8"/>
  </w:num>
  <w:num w:numId="8" w16cid:durableId="1653873648">
    <w:abstractNumId w:val="0"/>
  </w:num>
  <w:num w:numId="9" w16cid:durableId="649942833">
    <w:abstractNumId w:val="28"/>
  </w:num>
  <w:num w:numId="10" w16cid:durableId="861556150">
    <w:abstractNumId w:val="5"/>
  </w:num>
  <w:num w:numId="11" w16cid:durableId="1811704691">
    <w:abstractNumId w:val="27"/>
  </w:num>
  <w:num w:numId="12" w16cid:durableId="906574163">
    <w:abstractNumId w:val="24"/>
  </w:num>
  <w:num w:numId="13" w16cid:durableId="1524435445">
    <w:abstractNumId w:val="12"/>
  </w:num>
  <w:num w:numId="14" w16cid:durableId="752238913">
    <w:abstractNumId w:val="14"/>
  </w:num>
  <w:num w:numId="15" w16cid:durableId="245845928">
    <w:abstractNumId w:val="24"/>
  </w:num>
  <w:num w:numId="16" w16cid:durableId="2007977400">
    <w:abstractNumId w:val="21"/>
  </w:num>
  <w:num w:numId="17" w16cid:durableId="145167003">
    <w:abstractNumId w:val="25"/>
  </w:num>
  <w:num w:numId="18" w16cid:durableId="1654025933">
    <w:abstractNumId w:val="26"/>
  </w:num>
  <w:num w:numId="19" w16cid:durableId="59180609">
    <w:abstractNumId w:val="11"/>
  </w:num>
  <w:num w:numId="20" w16cid:durableId="961040291">
    <w:abstractNumId w:val="1"/>
  </w:num>
  <w:num w:numId="21" w16cid:durableId="71893966">
    <w:abstractNumId w:val="15"/>
  </w:num>
  <w:num w:numId="22" w16cid:durableId="877813746">
    <w:abstractNumId w:val="3"/>
  </w:num>
  <w:num w:numId="23" w16cid:durableId="785153060">
    <w:abstractNumId w:val="20"/>
  </w:num>
  <w:num w:numId="24" w16cid:durableId="1842697866">
    <w:abstractNumId w:val="7"/>
  </w:num>
  <w:num w:numId="25" w16cid:durableId="2034186299">
    <w:abstractNumId w:val="22"/>
  </w:num>
  <w:num w:numId="26" w16cid:durableId="1844511440">
    <w:abstractNumId w:val="10"/>
  </w:num>
  <w:num w:numId="27" w16cid:durableId="891885035">
    <w:abstractNumId w:val="16"/>
  </w:num>
  <w:num w:numId="28" w16cid:durableId="217673851">
    <w:abstractNumId w:val="2"/>
  </w:num>
  <w:num w:numId="29" w16cid:durableId="433400238">
    <w:abstractNumId w:val="6"/>
  </w:num>
  <w:num w:numId="30" w16cid:durableId="4864087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97"/>
    <w:rsid w:val="0002235C"/>
    <w:rsid w:val="00027035"/>
    <w:rsid w:val="000870F0"/>
    <w:rsid w:val="000A0123"/>
    <w:rsid w:val="000A2A1C"/>
    <w:rsid w:val="000A43B9"/>
    <w:rsid w:val="000A5359"/>
    <w:rsid w:val="000B5D16"/>
    <w:rsid w:val="000D7A82"/>
    <w:rsid w:val="00106183"/>
    <w:rsid w:val="001071E0"/>
    <w:rsid w:val="001163AD"/>
    <w:rsid w:val="0012685D"/>
    <w:rsid w:val="001361B3"/>
    <w:rsid w:val="00140BB9"/>
    <w:rsid w:val="00147650"/>
    <w:rsid w:val="0016273B"/>
    <w:rsid w:val="001708FD"/>
    <w:rsid w:val="00180C3D"/>
    <w:rsid w:val="001A770F"/>
    <w:rsid w:val="00201676"/>
    <w:rsid w:val="0024317B"/>
    <w:rsid w:val="0024413D"/>
    <w:rsid w:val="00244759"/>
    <w:rsid w:val="00244AEB"/>
    <w:rsid w:val="00255758"/>
    <w:rsid w:val="00262378"/>
    <w:rsid w:val="00291428"/>
    <w:rsid w:val="00295532"/>
    <w:rsid w:val="002C3B0A"/>
    <w:rsid w:val="002C488D"/>
    <w:rsid w:val="002C7483"/>
    <w:rsid w:val="0030684B"/>
    <w:rsid w:val="00316DFE"/>
    <w:rsid w:val="003421D0"/>
    <w:rsid w:val="00370404"/>
    <w:rsid w:val="003B6832"/>
    <w:rsid w:val="003C3226"/>
    <w:rsid w:val="003C7E97"/>
    <w:rsid w:val="004030CE"/>
    <w:rsid w:val="00406722"/>
    <w:rsid w:val="00436933"/>
    <w:rsid w:val="00450761"/>
    <w:rsid w:val="004A577C"/>
    <w:rsid w:val="004C3DE8"/>
    <w:rsid w:val="005429BD"/>
    <w:rsid w:val="00554269"/>
    <w:rsid w:val="00571D9F"/>
    <w:rsid w:val="005740DA"/>
    <w:rsid w:val="005A3761"/>
    <w:rsid w:val="005D42EA"/>
    <w:rsid w:val="005E0773"/>
    <w:rsid w:val="005E4BB8"/>
    <w:rsid w:val="005F538E"/>
    <w:rsid w:val="005F68B8"/>
    <w:rsid w:val="0060790E"/>
    <w:rsid w:val="00637837"/>
    <w:rsid w:val="00641E50"/>
    <w:rsid w:val="006443E4"/>
    <w:rsid w:val="00681130"/>
    <w:rsid w:val="006902DB"/>
    <w:rsid w:val="00692D11"/>
    <w:rsid w:val="0069337C"/>
    <w:rsid w:val="006A1AE3"/>
    <w:rsid w:val="006D164E"/>
    <w:rsid w:val="006D5BD7"/>
    <w:rsid w:val="00701202"/>
    <w:rsid w:val="00705E3A"/>
    <w:rsid w:val="00712768"/>
    <w:rsid w:val="00745CA1"/>
    <w:rsid w:val="0075594C"/>
    <w:rsid w:val="00761EE8"/>
    <w:rsid w:val="00764B19"/>
    <w:rsid w:val="007A701E"/>
    <w:rsid w:val="007B1895"/>
    <w:rsid w:val="007E3250"/>
    <w:rsid w:val="00801D17"/>
    <w:rsid w:val="00811F17"/>
    <w:rsid w:val="0083149E"/>
    <w:rsid w:val="0084599F"/>
    <w:rsid w:val="008512C4"/>
    <w:rsid w:val="00872BFE"/>
    <w:rsid w:val="008953FD"/>
    <w:rsid w:val="008B7571"/>
    <w:rsid w:val="008D28FC"/>
    <w:rsid w:val="008F13A1"/>
    <w:rsid w:val="008F15E2"/>
    <w:rsid w:val="008F767F"/>
    <w:rsid w:val="00900D91"/>
    <w:rsid w:val="00907067"/>
    <w:rsid w:val="00914C33"/>
    <w:rsid w:val="0093745A"/>
    <w:rsid w:val="009434FB"/>
    <w:rsid w:val="009B7B8B"/>
    <w:rsid w:val="009D49F6"/>
    <w:rsid w:val="009D75AA"/>
    <w:rsid w:val="009F7A87"/>
    <w:rsid w:val="00A046C3"/>
    <w:rsid w:val="00A12BD3"/>
    <w:rsid w:val="00A44F03"/>
    <w:rsid w:val="00A729AD"/>
    <w:rsid w:val="00A755FF"/>
    <w:rsid w:val="00A87ECD"/>
    <w:rsid w:val="00AC1E6D"/>
    <w:rsid w:val="00B013B3"/>
    <w:rsid w:val="00B04C76"/>
    <w:rsid w:val="00B11372"/>
    <w:rsid w:val="00B1287B"/>
    <w:rsid w:val="00B14187"/>
    <w:rsid w:val="00B1544F"/>
    <w:rsid w:val="00B15CC3"/>
    <w:rsid w:val="00B21A3C"/>
    <w:rsid w:val="00B561F3"/>
    <w:rsid w:val="00B64178"/>
    <w:rsid w:val="00B64231"/>
    <w:rsid w:val="00B8679B"/>
    <w:rsid w:val="00BA043C"/>
    <w:rsid w:val="00BA473F"/>
    <w:rsid w:val="00BB44EB"/>
    <w:rsid w:val="00BB5294"/>
    <w:rsid w:val="00BC2A61"/>
    <w:rsid w:val="00BF7C29"/>
    <w:rsid w:val="00C02DAB"/>
    <w:rsid w:val="00C17B9B"/>
    <w:rsid w:val="00C238B0"/>
    <w:rsid w:val="00C23D97"/>
    <w:rsid w:val="00C6603E"/>
    <w:rsid w:val="00C73292"/>
    <w:rsid w:val="00C7427D"/>
    <w:rsid w:val="00CA3A0E"/>
    <w:rsid w:val="00CA4F5A"/>
    <w:rsid w:val="00CB5BDA"/>
    <w:rsid w:val="00CD15BF"/>
    <w:rsid w:val="00D054FC"/>
    <w:rsid w:val="00D34DF9"/>
    <w:rsid w:val="00D37D85"/>
    <w:rsid w:val="00D52234"/>
    <w:rsid w:val="00D56EF4"/>
    <w:rsid w:val="00D57F95"/>
    <w:rsid w:val="00D83608"/>
    <w:rsid w:val="00D837AA"/>
    <w:rsid w:val="00D97E63"/>
    <w:rsid w:val="00DA645B"/>
    <w:rsid w:val="00DC076B"/>
    <w:rsid w:val="00DC3F1B"/>
    <w:rsid w:val="00DC550F"/>
    <w:rsid w:val="00DD62FC"/>
    <w:rsid w:val="00E10257"/>
    <w:rsid w:val="00E23B3A"/>
    <w:rsid w:val="00E25F97"/>
    <w:rsid w:val="00E54FE0"/>
    <w:rsid w:val="00E552BA"/>
    <w:rsid w:val="00E7346F"/>
    <w:rsid w:val="00E90056"/>
    <w:rsid w:val="00E943D8"/>
    <w:rsid w:val="00EA561D"/>
    <w:rsid w:val="00EC0262"/>
    <w:rsid w:val="00EE2524"/>
    <w:rsid w:val="00F16184"/>
    <w:rsid w:val="00F162EE"/>
    <w:rsid w:val="00F37CED"/>
    <w:rsid w:val="00F40135"/>
    <w:rsid w:val="00F51A05"/>
    <w:rsid w:val="00F8349F"/>
    <w:rsid w:val="00F9789F"/>
    <w:rsid w:val="00F97E86"/>
    <w:rsid w:val="00FC105E"/>
    <w:rsid w:val="00FD1A36"/>
    <w:rsid w:val="00FE46FF"/>
    <w:rsid w:val="00FF1CBE"/>
    <w:rsid w:val="00FF5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1FB2F"/>
  <w15:docId w15:val="{8C75206B-A653-4F19-B8B1-8631DF7D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4FB"/>
    <w:rPr>
      <w:rFonts w:ascii="Arial" w:hAnsi="Arial"/>
      <w:kern w:val="0"/>
      <w:sz w:val="21"/>
    </w:rPr>
  </w:style>
  <w:style w:type="paragraph" w:styleId="Heading1">
    <w:name w:val="heading 1"/>
    <w:basedOn w:val="Normal"/>
    <w:next w:val="Normal"/>
    <w:link w:val="Heading1Char"/>
    <w:uiPriority w:val="9"/>
    <w:qFormat/>
    <w:rsid w:val="00F51A05"/>
    <w:pPr>
      <w:keepNext/>
      <w:keepLines/>
      <w:spacing w:before="240" w:after="0"/>
      <w:outlineLvl w:val="0"/>
    </w:pPr>
    <w:rPr>
      <w:rFonts w:asciiTheme="majorHAnsi" w:eastAsiaTheme="majorEastAsia" w:hAnsiTheme="majorHAnsi" w:cstheme="majorBidi"/>
      <w:color w:val="2F5496" w:themeColor="accent1" w:themeShade="BF"/>
      <w:kern w:val="2"/>
      <w:sz w:val="32"/>
      <w:szCs w:val="32"/>
    </w:rPr>
  </w:style>
  <w:style w:type="paragraph" w:styleId="Heading2">
    <w:name w:val="heading 2"/>
    <w:basedOn w:val="Normal"/>
    <w:next w:val="Normal"/>
    <w:link w:val="Heading2Char"/>
    <w:uiPriority w:val="9"/>
    <w:unhideWhenUsed/>
    <w:qFormat/>
    <w:rsid w:val="00F51A05"/>
    <w:pPr>
      <w:keepNext/>
      <w:keepLines/>
      <w:spacing w:before="40" w:after="0"/>
      <w:outlineLvl w:val="1"/>
    </w:pPr>
    <w:rPr>
      <w:rFonts w:asciiTheme="majorHAnsi" w:eastAsiaTheme="majorEastAsia" w:hAnsiTheme="majorHAnsi" w:cstheme="majorBidi"/>
      <w:color w:val="2F5496" w:themeColor="accent1" w:themeShade="BF"/>
      <w:kern w:val="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9BD"/>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54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790E"/>
    <w:rPr>
      <w:color w:val="0000FF"/>
      <w:sz w:val="22"/>
      <w:u w:val="single"/>
    </w:rPr>
  </w:style>
  <w:style w:type="paragraph" w:styleId="ListParagraph">
    <w:name w:val="List Paragraph"/>
    <w:basedOn w:val="Normal"/>
    <w:link w:val="ListParagraphChar"/>
    <w:uiPriority w:val="34"/>
    <w:qFormat/>
    <w:rsid w:val="0060790E"/>
    <w:pPr>
      <w:spacing w:before="100" w:after="200" w:line="276" w:lineRule="auto"/>
      <w:ind w:left="720"/>
      <w:contextualSpacing/>
    </w:pPr>
    <w:rPr>
      <w:rFonts w:asciiTheme="minorHAnsi" w:eastAsiaTheme="minorEastAsia" w:hAnsiTheme="minorHAnsi"/>
      <w:szCs w:val="20"/>
    </w:rPr>
  </w:style>
  <w:style w:type="character" w:customStyle="1" w:styleId="ListParagraphChar">
    <w:name w:val="List Paragraph Char"/>
    <w:link w:val="ListParagraph"/>
    <w:uiPriority w:val="34"/>
    <w:locked/>
    <w:rsid w:val="0060790E"/>
    <w:rPr>
      <w:rFonts w:eastAsiaTheme="minorEastAsia"/>
      <w:kern w:val="0"/>
      <w:sz w:val="20"/>
      <w:szCs w:val="20"/>
    </w:rPr>
  </w:style>
  <w:style w:type="character" w:styleId="UnresolvedMention">
    <w:name w:val="Unresolved Mention"/>
    <w:basedOn w:val="DefaultParagraphFont"/>
    <w:uiPriority w:val="99"/>
    <w:semiHidden/>
    <w:unhideWhenUsed/>
    <w:rsid w:val="0060790E"/>
    <w:rPr>
      <w:color w:val="605E5C"/>
      <w:shd w:val="clear" w:color="auto" w:fill="E1DFDD"/>
    </w:rPr>
  </w:style>
  <w:style w:type="character" w:customStyle="1" w:styleId="Heading1Char">
    <w:name w:val="Heading 1 Char"/>
    <w:basedOn w:val="DefaultParagraphFont"/>
    <w:link w:val="Heading1"/>
    <w:uiPriority w:val="9"/>
    <w:rsid w:val="00F51A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1A0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44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13D"/>
    <w:rPr>
      <w:rFonts w:ascii="Arial" w:hAnsi="Arial"/>
      <w:kern w:val="0"/>
      <w:sz w:val="20"/>
    </w:rPr>
  </w:style>
  <w:style w:type="paragraph" w:styleId="Footer">
    <w:name w:val="footer"/>
    <w:basedOn w:val="Normal"/>
    <w:link w:val="FooterChar"/>
    <w:uiPriority w:val="99"/>
    <w:unhideWhenUsed/>
    <w:rsid w:val="00244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13D"/>
    <w:rPr>
      <w:rFonts w:ascii="Arial" w:hAnsi="Arial"/>
      <w:kern w:val="0"/>
      <w:sz w:val="20"/>
    </w:rPr>
  </w:style>
  <w:style w:type="character" w:styleId="PageNumber">
    <w:name w:val="page number"/>
    <w:basedOn w:val="DefaultParagraphFont"/>
    <w:uiPriority w:val="99"/>
    <w:semiHidden/>
    <w:unhideWhenUsed/>
    <w:rsid w:val="00C73292"/>
  </w:style>
  <w:style w:type="character" w:styleId="PlaceholderText">
    <w:name w:val="Placeholder Text"/>
    <w:basedOn w:val="DefaultParagraphFont"/>
    <w:uiPriority w:val="51"/>
    <w:rsid w:val="006A1AE3"/>
    <w:rPr>
      <w:color w:val="808080"/>
    </w:rPr>
  </w:style>
  <w:style w:type="character" w:customStyle="1" w:styleId="ui-provider">
    <w:name w:val="ui-provider"/>
    <w:basedOn w:val="DefaultParagraphFont"/>
    <w:rsid w:val="00D837AA"/>
  </w:style>
  <w:style w:type="paragraph" w:styleId="Revision">
    <w:name w:val="Revision"/>
    <w:hidden/>
    <w:uiPriority w:val="99"/>
    <w:semiHidden/>
    <w:rsid w:val="00436933"/>
    <w:pPr>
      <w:spacing w:after="0" w:line="240" w:lineRule="auto"/>
    </w:pPr>
    <w:rPr>
      <w:rFonts w:ascii="Arial" w:hAnsi="Arial"/>
      <w:kern w:val="0"/>
      <w:sz w:val="20"/>
    </w:rPr>
  </w:style>
  <w:style w:type="character" w:styleId="CommentReference">
    <w:name w:val="annotation reference"/>
    <w:basedOn w:val="DefaultParagraphFont"/>
    <w:uiPriority w:val="99"/>
    <w:semiHidden/>
    <w:unhideWhenUsed/>
    <w:rsid w:val="00436933"/>
    <w:rPr>
      <w:sz w:val="16"/>
      <w:szCs w:val="16"/>
    </w:rPr>
  </w:style>
  <w:style w:type="paragraph" w:styleId="CommentText">
    <w:name w:val="annotation text"/>
    <w:basedOn w:val="Normal"/>
    <w:link w:val="CommentTextChar"/>
    <w:uiPriority w:val="99"/>
    <w:unhideWhenUsed/>
    <w:rsid w:val="00436933"/>
    <w:pPr>
      <w:spacing w:line="240" w:lineRule="auto"/>
    </w:pPr>
    <w:rPr>
      <w:szCs w:val="20"/>
    </w:rPr>
  </w:style>
  <w:style w:type="character" w:customStyle="1" w:styleId="CommentTextChar">
    <w:name w:val="Comment Text Char"/>
    <w:basedOn w:val="DefaultParagraphFont"/>
    <w:link w:val="CommentText"/>
    <w:uiPriority w:val="99"/>
    <w:rsid w:val="00436933"/>
    <w:rPr>
      <w:rFonts w:ascii="Arial" w:hAnsi="Arial"/>
      <w:kern w:val="0"/>
      <w:sz w:val="20"/>
      <w:szCs w:val="20"/>
    </w:rPr>
  </w:style>
  <w:style w:type="paragraph" w:styleId="CommentSubject">
    <w:name w:val="annotation subject"/>
    <w:basedOn w:val="CommentText"/>
    <w:next w:val="CommentText"/>
    <w:link w:val="CommentSubjectChar"/>
    <w:uiPriority w:val="99"/>
    <w:semiHidden/>
    <w:unhideWhenUsed/>
    <w:rsid w:val="00436933"/>
    <w:rPr>
      <w:b/>
      <w:bCs/>
    </w:rPr>
  </w:style>
  <w:style w:type="character" w:customStyle="1" w:styleId="CommentSubjectChar">
    <w:name w:val="Comment Subject Char"/>
    <w:basedOn w:val="CommentTextChar"/>
    <w:link w:val="CommentSubject"/>
    <w:uiPriority w:val="99"/>
    <w:semiHidden/>
    <w:rsid w:val="00436933"/>
    <w:rPr>
      <w:rFonts w:ascii="Arial" w:hAnsi="Arial"/>
      <w:b/>
      <w:bCs/>
      <w:kern w:val="0"/>
      <w:sz w:val="20"/>
      <w:szCs w:val="20"/>
    </w:rPr>
  </w:style>
  <w:style w:type="character" w:styleId="FollowedHyperlink">
    <w:name w:val="FollowedHyperlink"/>
    <w:basedOn w:val="DefaultParagraphFont"/>
    <w:uiPriority w:val="99"/>
    <w:semiHidden/>
    <w:unhideWhenUsed/>
    <w:rsid w:val="002C3B0A"/>
    <w:rPr>
      <w:color w:val="954F72" w:themeColor="followedHyperlink"/>
      <w:u w:val="single"/>
    </w:rPr>
  </w:style>
  <w:style w:type="paragraph" w:customStyle="1" w:styleId="Bodycopy">
    <w:name w:val="Body copy"/>
    <w:basedOn w:val="Normal"/>
    <w:link w:val="BodycopyChar"/>
    <w:rsid w:val="00F37CED"/>
    <w:pPr>
      <w:spacing w:after="0" w:line="240" w:lineRule="auto"/>
      <w:ind w:left="-540"/>
    </w:pPr>
    <w:rPr>
      <w:rFonts w:eastAsia="MS Mincho" w:cs="Times New Roman"/>
      <w:sz w:val="22"/>
      <w:szCs w:val="24"/>
      <w:lang w:val="en-US"/>
      <w14:ligatures w14:val="none"/>
    </w:rPr>
  </w:style>
  <w:style w:type="character" w:customStyle="1" w:styleId="BodycopyChar">
    <w:name w:val="Body copy Char"/>
    <w:link w:val="Bodycopy"/>
    <w:rsid w:val="00F37CED"/>
    <w:rPr>
      <w:rFonts w:ascii="Arial" w:eastAsia="MS Mincho" w:hAnsi="Arial" w:cs="Times New Roman"/>
      <w:kern w:val="0"/>
      <w:szCs w:val="24"/>
      <w:lang w:val="en-US"/>
      <w14:ligatures w14:val="none"/>
    </w:rPr>
  </w:style>
  <w:style w:type="paragraph" w:customStyle="1" w:styleId="StyleBodycopyBold">
    <w:name w:val="Style Body copy + Bold"/>
    <w:basedOn w:val="Bodycopy"/>
    <w:link w:val="StyleBodycopyBoldChar"/>
    <w:autoRedefine/>
    <w:rsid w:val="00F37CED"/>
    <w:pPr>
      <w:numPr>
        <w:numId w:val="20"/>
      </w:numPr>
      <w:tabs>
        <w:tab w:val="clear" w:pos="181"/>
        <w:tab w:val="num" w:pos="-180"/>
        <w:tab w:val="left" w:pos="567"/>
      </w:tabs>
      <w:spacing w:after="200"/>
      <w:ind w:left="567" w:hanging="567"/>
    </w:pPr>
    <w:rPr>
      <w:rFonts w:asciiTheme="majorHAnsi" w:hAnsiTheme="majorHAnsi" w:cstheme="majorHAnsi"/>
      <w:bCs/>
      <w:szCs w:val="22"/>
      <w:lang w:val="en-AU"/>
    </w:rPr>
  </w:style>
  <w:style w:type="character" w:customStyle="1" w:styleId="StyleBodycopyBoldChar">
    <w:name w:val="Style Body copy + Bold Char"/>
    <w:link w:val="StyleBodycopyBold"/>
    <w:rsid w:val="00F37CED"/>
    <w:rPr>
      <w:rFonts w:asciiTheme="majorHAnsi" w:eastAsia="MS Mincho" w:hAnsiTheme="majorHAnsi" w:cstheme="majorHAnsi"/>
      <w:bCs/>
      <w:kern w:val="0"/>
      <w14:ligatures w14:val="none"/>
    </w:rPr>
  </w:style>
  <w:style w:type="paragraph" w:customStyle="1" w:styleId="Bulletpoints">
    <w:name w:val="Bullet points"/>
    <w:basedOn w:val="Normal"/>
    <w:link w:val="BulletpointsChar"/>
    <w:qFormat/>
    <w:rsid w:val="00C7427D"/>
    <w:pPr>
      <w:numPr>
        <w:numId w:val="26"/>
      </w:numPr>
    </w:pPr>
  </w:style>
  <w:style w:type="character" w:customStyle="1" w:styleId="BulletpointsChar">
    <w:name w:val="Bullet points Char"/>
    <w:basedOn w:val="DefaultParagraphFont"/>
    <w:link w:val="Bulletpoints"/>
    <w:rsid w:val="00C7427D"/>
    <w:rPr>
      <w:rFonts w:ascii="Arial" w:hAnsi="Arial"/>
      <w:kern w:val="0"/>
      <w:sz w:val="21"/>
    </w:rPr>
  </w:style>
  <w:style w:type="paragraph" w:customStyle="1" w:styleId="Keycapabilities">
    <w:name w:val="Key capabilities"/>
    <w:basedOn w:val="Bulletpoints"/>
    <w:link w:val="KeycapabilitiesChar"/>
    <w:qFormat/>
    <w:rsid w:val="00C7427D"/>
    <w:pPr>
      <w:spacing w:after="0" w:line="240" w:lineRule="auto"/>
      <w:ind w:left="453" w:hanging="357"/>
    </w:pPr>
  </w:style>
  <w:style w:type="character" w:customStyle="1" w:styleId="KeycapabilitiesChar">
    <w:name w:val="Key capabilities Char"/>
    <w:basedOn w:val="BulletpointsChar"/>
    <w:link w:val="Keycapabilities"/>
    <w:rsid w:val="00C7427D"/>
    <w:rPr>
      <w:rFonts w:ascii="Arial" w:hAnsi="Arial"/>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40353">
      <w:bodyDiv w:val="1"/>
      <w:marLeft w:val="0"/>
      <w:marRight w:val="0"/>
      <w:marTop w:val="0"/>
      <w:marBottom w:val="0"/>
      <w:divBdr>
        <w:top w:val="none" w:sz="0" w:space="0" w:color="auto"/>
        <w:left w:val="none" w:sz="0" w:space="0" w:color="auto"/>
        <w:bottom w:val="none" w:sz="0" w:space="0" w:color="auto"/>
        <w:right w:val="none" w:sz="0" w:space="0" w:color="auto"/>
      </w:divBdr>
    </w:div>
    <w:div w:id="1064833764">
      <w:bodyDiv w:val="1"/>
      <w:marLeft w:val="0"/>
      <w:marRight w:val="0"/>
      <w:marTop w:val="0"/>
      <w:marBottom w:val="0"/>
      <w:divBdr>
        <w:top w:val="none" w:sz="0" w:space="0" w:color="auto"/>
        <w:left w:val="none" w:sz="0" w:space="0" w:color="auto"/>
        <w:bottom w:val="none" w:sz="0" w:space="0" w:color="auto"/>
        <w:right w:val="none" w:sz="0" w:space="0" w:color="auto"/>
      </w:divBdr>
    </w:div>
    <w:div w:id="1262569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ir.qld.gov.au/" TargetMode="External"/><Relationship Id="rId18" Type="http://schemas.openxmlformats.org/officeDocument/2006/relationships/image" Target="media/image7.png"/><Relationship Id="rId26" Type="http://schemas.openxmlformats.org/officeDocument/2006/relationships/hyperlink" Target="https://www.worksafe.qld.gov.au/laws-and-compliance/codes-of-practice" TargetMode="External"/><Relationship Id="rId3" Type="http://schemas.openxmlformats.org/officeDocument/2006/relationships/customXml" Target="../customXml/item3.xml"/><Relationship Id="rId21" Type="http://schemas.openxmlformats.org/officeDocument/2006/relationships/image" Target="media/image10.svg"/><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6.svg"/><Relationship Id="rId25" Type="http://schemas.openxmlformats.org/officeDocument/2006/relationships/image" Target="media/image14.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image" Target="media/image12.svg"/><Relationship Id="rId28" Type="http://schemas.openxmlformats.org/officeDocument/2006/relationships/hyperlink" Target="http://www.smartjobs.qld.gov.au).T" TargetMode="External"/><Relationship Id="rId10" Type="http://schemas.openxmlformats.org/officeDocument/2006/relationships/endnotes" Target="endnotes.xml"/><Relationship Id="rId19" Type="http://schemas.openxmlformats.org/officeDocument/2006/relationships/image" Target="media/image8.sv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s://www.forgov.qld.gov.au/working-in-the-public-service/leadership-and-learning-hub/build-capability/capability-frameworks-and-strategies/leadership-competencies-for-queensland" TargetMode="External"/><Relationship Id="rId30" Type="http://schemas.openxmlformats.org/officeDocument/2006/relationships/footer" Target="footer2.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6.jpg"/></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leyD\OneDrive%20-%20Office%20of%20Industrial%20Relations\Desktop\Role%20Description%20-%20Regional%20Direct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8A27CCEDE44601B2456563D569602F"/>
        <w:category>
          <w:name w:val="General"/>
          <w:gallery w:val="placeholder"/>
        </w:category>
        <w:types>
          <w:type w:val="bbPlcHdr"/>
        </w:types>
        <w:behaviors>
          <w:behavior w:val="content"/>
        </w:behaviors>
        <w:guid w:val="{12D3095F-9EF7-4D36-84E4-6431AA31DA42}"/>
      </w:docPartPr>
      <w:docPartBody>
        <w:p w:rsidR="00EA743C" w:rsidRDefault="009809BB" w:rsidP="009809BB">
          <w:pPr>
            <w:pStyle w:val="068A27CCEDE44601B2456563D569602F"/>
          </w:pPr>
          <w:r w:rsidRPr="00DD0E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82"/>
    <w:rsid w:val="0028168F"/>
    <w:rsid w:val="0087718B"/>
    <w:rsid w:val="009809BB"/>
    <w:rsid w:val="00A406D1"/>
    <w:rsid w:val="00BA6786"/>
    <w:rsid w:val="00C57E82"/>
    <w:rsid w:val="00D543C7"/>
    <w:rsid w:val="00EA7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51"/>
    <w:rsid w:val="009809BB"/>
    <w:rPr>
      <w:color w:val="808080"/>
    </w:rPr>
  </w:style>
  <w:style w:type="paragraph" w:customStyle="1" w:styleId="068A27CCEDE44601B2456563D569602F">
    <w:name w:val="068A27CCEDE44601B2456563D569602F"/>
    <w:rsid w:val="00980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4C34064A79746B1B31BAC400D122D" ma:contentTypeVersion="19" ma:contentTypeDescription="Create a new document." ma:contentTypeScope="" ma:versionID="64de20ffdd3fef22ef3d57b0eea3739d">
  <xsd:schema xmlns:xsd="http://www.w3.org/2001/XMLSchema" xmlns:xs="http://www.w3.org/2001/XMLSchema" xmlns:p="http://schemas.microsoft.com/office/2006/metadata/properties" xmlns:ns1="http://schemas.microsoft.com/sharepoint/v3" xmlns:ns2="40b65710-e3b0-4eb7-a562-55c43e5811c0" xmlns:ns3="321715e1-1fa7-4b70-a837-51da37260cad" xmlns:ns4="http://schemas.microsoft.com/sharepoint/v4" targetNamespace="http://schemas.microsoft.com/office/2006/metadata/properties" ma:root="true" ma:fieldsID="3fbb51475643067b655847254b65fc58" ns1:_="" ns2:_="" ns3:_="" ns4:_="">
    <xsd:import namespace="http://schemas.microsoft.com/sharepoint/v3"/>
    <xsd:import namespace="40b65710-e3b0-4eb7-a562-55c43e5811c0"/>
    <xsd:import namespace="321715e1-1fa7-4b70-a837-51da37260cad"/>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pde1ad867998499287bb407ba4bcb7bc" minOccurs="0"/>
                <xsd:element ref="ns2:TaxCatchAll" minOccurs="0"/>
                <xsd:element ref="ns2:Landing_x0020_description" minOccurs="0"/>
                <xsd:element ref="ns1:TranslationStateDownloadLink" minOccurs="0"/>
                <xsd:element ref="ns2:me9e23cdcd6e4ceaa541b246eab01d60" minOccurs="0"/>
                <xsd:element ref="ns3:Documenttype" minOccurs="0"/>
                <xsd:element ref="ns3:Proces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TranslationStateDownloadLink" ma:index="14"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b65710-e3b0-4eb7-a562-55c43e5811c0" elementFormDefault="qualified">
    <xsd:import namespace="http://schemas.microsoft.com/office/2006/documentManagement/types"/>
    <xsd:import namespace="http://schemas.microsoft.com/office/infopath/2007/PartnerControls"/>
    <xsd:element name="pde1ad867998499287bb407ba4bcb7bc" ma:index="11" nillable="true" ma:taxonomy="true" ma:internalName="pde1ad867998499287bb407ba4bcb7bc" ma:taxonomyFieldName="Landing_x0020_page" ma:displayName="Landing page" ma:default="" ma:fieldId="{9de1ad86-7998-4992-87bb-407ba4bcb7bc}" ma:taxonomyMulti="true" ma:sspId="6758299f-2f9a-4a85-a0bd-be3333e5cb78" ma:termSetId="66166188-740b-4bf6-8cb6-0b93db20a8e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f84d04a-202c-4d34-aa76-3e5b74bffff3}" ma:internalName="TaxCatchAll" ma:showField="CatchAllData" ma:web="40b65710-e3b0-4eb7-a562-55c43e5811c0">
      <xsd:complexType>
        <xsd:complexContent>
          <xsd:extension base="dms:MultiChoiceLookup">
            <xsd:sequence>
              <xsd:element name="Value" type="dms:Lookup" maxOccurs="unbounded" minOccurs="0" nillable="true"/>
            </xsd:sequence>
          </xsd:extension>
        </xsd:complexContent>
      </xsd:complexType>
    </xsd:element>
    <xsd:element name="Landing_x0020_description" ma:index="13" nillable="true" ma:displayName="Landing description" ma:description="This field displays the descriptions of the children pages." ma:internalName="Landing_x0020_description">
      <xsd:simpleType>
        <xsd:restriction base="dms:Note">
          <xsd:maxLength value="255"/>
        </xsd:restriction>
      </xsd:simpleType>
    </xsd:element>
    <xsd:element name="me9e23cdcd6e4ceaa541b246eab01d60" ma:index="16" nillable="true" ma:taxonomy="true" ma:internalName="me9e23cdcd6e4ceaa541b246eab01d60" ma:taxonomyFieldName="Business_x0020_unit" ma:displayName="Business unit" ma:default="" ma:fieldId="{6e9e23cd-cd6e-4cea-a541-b246eab01d60}" ma:taxonomyMulti="true" ma:sspId="6758299f-2f9a-4a85-a0bd-be3333e5cb78" ma:termSetId="1e76b736-3499-472c-883f-c4b4a3b45f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1715e1-1fa7-4b70-a837-51da37260cad" elementFormDefault="qualified">
    <xsd:import namespace="http://schemas.microsoft.com/office/2006/documentManagement/types"/>
    <xsd:import namespace="http://schemas.microsoft.com/office/infopath/2007/PartnerControls"/>
    <xsd:element name="Documenttype" ma:index="17" nillable="true" ma:displayName="Document type" ma:format="RadioButtons" ma:internalName="Documenttype">
      <xsd:simpleType>
        <xsd:restriction base="dms:Choice">
          <xsd:enumeration value="Form"/>
          <xsd:enumeration value="Procedure"/>
          <xsd:enumeration value="Guideline"/>
          <xsd:enumeration value="Policy"/>
          <xsd:enumeration value="Manual"/>
          <xsd:enumeration value="FAQ"/>
          <xsd:enumeration value="Checklist"/>
          <xsd:enumeration value="Template"/>
          <xsd:enumeration value="Business plan"/>
        </xsd:restriction>
      </xsd:simpleType>
    </xsd:element>
    <xsd:element name="Process" ma:index="18" nillable="true" ma:displayName="Process" ma:format="RadioButtons" ma:internalName="Process">
      <xsd:simpleType>
        <xsd:restriction base="dms:Choice">
          <xsd:enumeration value="Correspondence"/>
          <xsd:enumeration value="Cabinet submiss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de1ad867998499287bb407ba4bcb7bc xmlns="40b65710-e3b0-4eb7-a562-55c43e5811c0">
      <Terms xmlns="http://schemas.microsoft.com/office/infopath/2007/PartnerControls"/>
    </pde1ad867998499287bb407ba4bcb7bc>
    <PublishingStartDate xmlns="http://schemas.microsoft.com/sharepoint/v3" xsi:nil="true"/>
    <PublishingExpirationDate xmlns="http://schemas.microsoft.com/sharepoint/v3" xsi:nil="true"/>
    <me9e23cdcd6e4ceaa541b246eab01d60 xmlns="40b65710-e3b0-4eb7-a562-55c43e5811c0">
      <Terms xmlns="http://schemas.microsoft.com/office/infopath/2007/PartnerControls"/>
    </me9e23cdcd6e4ceaa541b246eab01d60>
    <Process xmlns="321715e1-1fa7-4b70-a837-51da37260cad" xsi:nil="true"/>
    <TaxCatchAll xmlns="40b65710-e3b0-4eb7-a562-55c43e5811c0"/>
    <TranslationStateDownloadLink xmlns="http://schemas.microsoft.com/sharepoint/v3">
      <Url xsi:nil="true"/>
      <Description xsi:nil="true"/>
    </TranslationStateDownloadLink>
    <Documenttype xmlns="321715e1-1fa7-4b70-a837-51da37260cad" xsi:nil="true"/>
    <Landing_x0020_description xmlns="40b65710-e3b0-4eb7-a562-55c43e5811c0"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3CA0F-E816-45E7-B949-23831ED94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b65710-e3b0-4eb7-a562-55c43e5811c0"/>
    <ds:schemaRef ds:uri="321715e1-1fa7-4b70-a837-51da37260c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81FC9-4E36-42E7-8A26-1BA65D024304}">
  <ds:schemaRefs>
    <ds:schemaRef ds:uri="http://schemas.microsoft.com/sharepoint/v3/contenttype/forms"/>
  </ds:schemaRefs>
</ds:datastoreItem>
</file>

<file path=customXml/itemProps3.xml><?xml version="1.0" encoding="utf-8"?>
<ds:datastoreItem xmlns:ds="http://schemas.openxmlformats.org/officeDocument/2006/customXml" ds:itemID="{76D7266D-1B86-4B48-B88A-A348AF2580DE}">
  <ds:schemaRefs>
    <ds:schemaRef ds:uri="http://purl.org/dc/elements/1.1/"/>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40b65710-e3b0-4eb7-a562-55c43e5811c0"/>
    <ds:schemaRef ds:uri="http://purl.org/dc/dcmitype/"/>
    <ds:schemaRef ds:uri="http://schemas.openxmlformats.org/package/2006/metadata/core-properties"/>
    <ds:schemaRef ds:uri="http://schemas.microsoft.com/sharepoint/v4"/>
    <ds:schemaRef ds:uri="321715e1-1fa7-4b70-a837-51da37260cad"/>
    <ds:schemaRef ds:uri="http://www.w3.org/XML/1998/namespace"/>
    <ds:schemaRef ds:uri="http://purl.org/dc/terms/"/>
  </ds:schemaRefs>
</ds:datastoreItem>
</file>

<file path=customXml/itemProps4.xml><?xml version="1.0" encoding="utf-8"?>
<ds:datastoreItem xmlns:ds="http://schemas.openxmlformats.org/officeDocument/2006/customXml" ds:itemID="{CBF9E57C-9A19-4203-9258-2BA13FDF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 Regional Director</Template>
  <TotalTime>9</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Bailey</dc:creator>
  <cp:keywords/>
  <dc:description/>
  <cp:lastModifiedBy>Janice Falla</cp:lastModifiedBy>
  <cp:revision>5</cp:revision>
  <dcterms:created xsi:type="dcterms:W3CDTF">2024-07-12T04:26:00Z</dcterms:created>
  <dcterms:modified xsi:type="dcterms:W3CDTF">2024-07-12T04:44:00Z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-1465545554</vt:i4>
  </property>
  <property fmtid="{D5CDD505-2E9C-101B-9397-08002B2CF9AE}" pid="3" name="_NewReviewCycle">
    <vt:lpwstr/>
  </property>
  <property fmtid="{D5CDD505-2E9C-101B-9397-08002B2CF9AE}" pid="4" name="_EmailSubject">
    <vt:lpwstr>FOR YOUR APPROVAL  AO8 Manager Governance and Compliance PD</vt:lpwstr>
  </property>
  <property fmtid="{D5CDD505-2E9C-101B-9397-08002B2CF9AE}" pid="5" name="_AuthorEmail">
    <vt:lpwstr>Robert.Wicks@oir.qld.gov.au</vt:lpwstr>
  </property>
  <property fmtid="{D5CDD505-2E9C-101B-9397-08002B2CF9AE}" pid="6" name="_AuthorEmailDisplayName">
    <vt:lpwstr>Robert Wicks</vt:lpwstr>
  </property>
  <property fmtid="{D5CDD505-2E9C-101B-9397-08002B2CF9AE}" pid="7" name="_PreviousAdHocReviewCycleID">
    <vt:i4>-2132854984</vt:i4>
  </property>
  <property fmtid="{D5CDD505-2E9C-101B-9397-08002B2CF9AE}" pid="8" name="Landing page">
    <vt:lpwstr/>
  </property>
  <property fmtid="{D5CDD505-2E9C-101B-9397-08002B2CF9AE}" pid="9" name="ContentTypeId">
    <vt:lpwstr>0x0101009EC4C34064A79746B1B31BAC400D122D</vt:lpwstr>
  </property>
  <property fmtid="{D5CDD505-2E9C-101B-9397-08002B2CF9AE}" pid="10" name="Business unit">
    <vt:lpwstr/>
  </property>
  <property fmtid="{D5CDD505-2E9C-101B-9397-08002B2CF9AE}" pid="11" name="_ReviewingToolsShownOnce">
    <vt:lpwstr/>
  </property>
</Properties>
</file>